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jc w:val="center"/>
        <w:rPr>
          <w:rFonts w:hint="eastAsia" w:ascii="黑体" w:hAnsi="黑体" w:eastAsia="黑体" w:cs="黑体"/>
          <w:sz w:val="52"/>
          <w:szCs w:val="52"/>
        </w:rPr>
      </w:pPr>
      <w:r>
        <w:rPr>
          <w:rFonts w:hint="eastAsia" w:ascii="黑体" w:hAnsi="黑体" w:eastAsia="黑体" w:cs="黑体"/>
          <w:sz w:val="52"/>
          <w:szCs w:val="52"/>
        </w:rPr>
        <w:t>20</w:t>
      </w:r>
      <w:r>
        <w:rPr>
          <w:rFonts w:ascii="黑体" w:hAnsi="黑体" w:eastAsia="黑体" w:cs="黑体"/>
          <w:sz w:val="52"/>
          <w:szCs w:val="52"/>
        </w:rPr>
        <w:t>23</w:t>
      </w:r>
      <w:r>
        <w:rPr>
          <w:rFonts w:hint="eastAsia" w:ascii="黑体" w:hAnsi="黑体" w:eastAsia="黑体" w:cs="黑体"/>
          <w:sz w:val="52"/>
          <w:szCs w:val="52"/>
        </w:rPr>
        <w:t>年度</w:t>
      </w:r>
    </w:p>
    <w:p>
      <w:pPr>
        <w:jc w:val="center"/>
        <w:rPr>
          <w:rFonts w:hint="eastAsia" w:ascii="黑体" w:hAnsi="黑体" w:eastAsia="黑体" w:cs="黑体"/>
          <w:sz w:val="52"/>
          <w:szCs w:val="52"/>
        </w:rPr>
      </w:pPr>
      <w:r>
        <w:rPr>
          <w:rFonts w:hint="eastAsia" w:ascii="黑体" w:hAnsi="黑体" w:eastAsia="黑体" w:cs="黑体"/>
          <w:sz w:val="52"/>
          <w:szCs w:val="52"/>
        </w:rPr>
        <w:t>开封市农林科学研究院部门决算</w:t>
      </w:r>
    </w:p>
    <w:p>
      <w:pPr>
        <w:jc w:val="center"/>
        <w:rPr>
          <w:rFonts w:ascii="黑体" w:hAnsi="黑体" w:eastAsia="黑体" w:cs="黑体"/>
          <w:sz w:val="52"/>
          <w:szCs w:val="52"/>
        </w:rPr>
      </w:pPr>
    </w:p>
    <w:p>
      <w:pPr>
        <w:jc w:val="center"/>
        <w:rPr>
          <w:rFonts w:hint="eastAsia" w:ascii="黑体" w:hAnsi="黑体" w:eastAsia="黑体" w:cs="黑体"/>
          <w:sz w:val="52"/>
          <w:szCs w:val="52"/>
        </w:rPr>
      </w:pPr>
    </w:p>
    <w:p>
      <w:pPr>
        <w:jc w:val="center"/>
        <w:rPr>
          <w:rFonts w:hint="eastAsia" w:ascii="黑体" w:hAnsi="黑体" w:eastAsia="黑体" w:cs="黑体"/>
          <w:sz w:val="52"/>
          <w:szCs w:val="52"/>
        </w:rPr>
      </w:pPr>
    </w:p>
    <w:p>
      <w:pPr>
        <w:jc w:val="center"/>
        <w:rPr>
          <w:rFonts w:hint="eastAsia" w:ascii="黑体" w:hAnsi="黑体" w:eastAsia="黑体" w:cs="黑体"/>
          <w:sz w:val="52"/>
          <w:szCs w:val="52"/>
        </w:rPr>
      </w:pPr>
    </w:p>
    <w:p>
      <w:pPr>
        <w:jc w:val="center"/>
        <w:rPr>
          <w:rFonts w:hint="eastAsia" w:ascii="黑体" w:hAnsi="黑体" w:eastAsia="黑体" w:cs="黑体"/>
          <w:sz w:val="52"/>
          <w:szCs w:val="52"/>
        </w:rPr>
      </w:pPr>
    </w:p>
    <w:p>
      <w:pPr>
        <w:jc w:val="center"/>
        <w:rPr>
          <w:rFonts w:hint="eastAsia" w:ascii="黑体" w:hAnsi="黑体" w:eastAsia="黑体" w:cs="黑体"/>
          <w:sz w:val="52"/>
          <w:szCs w:val="52"/>
        </w:rPr>
      </w:pPr>
    </w:p>
    <w:p>
      <w:pPr>
        <w:jc w:val="center"/>
        <w:rPr>
          <w:rFonts w:ascii="黑体" w:hAnsi="黑体" w:eastAsia="黑体" w:cs="黑体"/>
          <w:sz w:val="32"/>
          <w:szCs w:val="32"/>
        </w:rPr>
      </w:pPr>
      <w:r>
        <w:rPr>
          <w:rFonts w:hint="eastAsia" w:ascii="黑体" w:hAnsi="黑体" w:eastAsia="黑体" w:cs="黑体"/>
          <w:sz w:val="32"/>
          <w:szCs w:val="32"/>
        </w:rPr>
        <w:t>二〇二四年</w:t>
      </w:r>
      <w:r>
        <w:rPr>
          <w:rFonts w:hint="eastAsia" w:ascii="黑体" w:hAnsi="黑体" w:eastAsia="黑体" w:cs="黑体"/>
          <w:sz w:val="32"/>
          <w:szCs w:val="32"/>
          <w:lang w:eastAsia="zh-CN"/>
        </w:rPr>
        <w:t>九</w:t>
      </w:r>
      <w:r>
        <w:rPr>
          <w:rFonts w:hint="eastAsia" w:ascii="黑体" w:hAnsi="黑体" w:eastAsia="黑体" w:cs="黑体"/>
          <w:sz w:val="32"/>
          <w:szCs w:val="32"/>
        </w:rPr>
        <w:t>月</w:t>
      </w:r>
    </w:p>
    <w:p>
      <w:pPr>
        <w:rPr>
          <w:rFonts w:hint="eastAsia" w:ascii="黑体" w:hAnsi="黑体" w:eastAsia="黑体" w:cs="黑体"/>
          <w:sz w:val="32"/>
          <w:szCs w:val="32"/>
        </w:rPr>
        <w:sectPr>
          <w:pgSz w:w="11906" w:h="16838"/>
          <w:pgMar w:top="1440" w:right="1531" w:bottom="1440" w:left="1587" w:header="850" w:footer="992" w:gutter="0"/>
          <w:pgNumType w:fmt="numberInDash"/>
          <w:cols w:space="720" w:num="1"/>
          <w:docGrid w:type="lines" w:linePitch="317" w:charSpace="0"/>
        </w:sectPr>
      </w:pPr>
    </w:p>
    <w:p>
      <w:pPr>
        <w:jc w:val="center"/>
        <w:rPr>
          <w:rFonts w:ascii="黑体" w:hAnsi="黑体" w:eastAsia="黑体" w:cs="黑体"/>
          <w:sz w:val="36"/>
          <w:szCs w:val="36"/>
        </w:rPr>
      </w:pPr>
      <w:r>
        <w:rPr>
          <w:rFonts w:hint="eastAsia" w:ascii="黑体" w:hAnsi="黑体" w:eastAsia="黑体" w:cs="黑体"/>
          <w:sz w:val="36"/>
          <w:szCs w:val="36"/>
        </w:rPr>
        <w:t>目　　录</w:t>
      </w:r>
    </w:p>
    <w:p>
      <w:pPr>
        <w:jc w:val="left"/>
        <w:rPr>
          <w:rFonts w:ascii="黑体" w:hAnsi="黑体" w:eastAsia="黑体" w:cs="黑体"/>
          <w:sz w:val="32"/>
          <w:szCs w:val="32"/>
        </w:rPr>
      </w:pPr>
      <w:r>
        <w:rPr>
          <w:rFonts w:hint="eastAsia" w:ascii="黑体" w:hAnsi="黑体" w:eastAsia="黑体" w:cs="黑体"/>
          <w:sz w:val="32"/>
          <w:szCs w:val="32"/>
        </w:rPr>
        <w:t>第一部分　开封市农林科学研究院概况</w:t>
      </w:r>
    </w:p>
    <w:p>
      <w:pPr>
        <w:numPr>
          <w:ilvl w:val="0"/>
          <w:numId w:val="1"/>
        </w:numPr>
        <w:ind w:firstLine="640" w:firstLineChars="200"/>
        <w:jc w:val="left"/>
        <w:rPr>
          <w:rFonts w:ascii="宋体" w:hAnsi="宋体" w:cs="宋体"/>
          <w:sz w:val="32"/>
          <w:szCs w:val="32"/>
        </w:rPr>
      </w:pPr>
      <w:r>
        <w:rPr>
          <w:rFonts w:hint="eastAsia" w:ascii="宋体" w:hAnsi="宋体" w:cs="宋体"/>
          <w:sz w:val="32"/>
          <w:szCs w:val="32"/>
        </w:rPr>
        <w:t>部门职责</w:t>
      </w:r>
    </w:p>
    <w:p>
      <w:pPr>
        <w:numPr>
          <w:ilvl w:val="0"/>
          <w:numId w:val="1"/>
        </w:numPr>
        <w:ind w:firstLine="640" w:firstLineChars="200"/>
        <w:jc w:val="left"/>
        <w:rPr>
          <w:rFonts w:ascii="宋体" w:hAnsi="宋体" w:cs="宋体"/>
          <w:sz w:val="32"/>
          <w:szCs w:val="32"/>
        </w:rPr>
      </w:pPr>
      <w:r>
        <w:rPr>
          <w:rFonts w:hint="eastAsia" w:ascii="宋体" w:hAnsi="宋体" w:cs="宋体"/>
          <w:sz w:val="32"/>
          <w:szCs w:val="32"/>
        </w:rPr>
        <w:t>机构设置</w:t>
      </w:r>
    </w:p>
    <w:p>
      <w:pPr>
        <w:jc w:val="left"/>
        <w:rPr>
          <w:rFonts w:ascii="黑体" w:hAnsi="黑体" w:eastAsia="黑体" w:cs="黑体"/>
          <w:sz w:val="32"/>
          <w:szCs w:val="32"/>
        </w:rPr>
      </w:pPr>
      <w:r>
        <w:rPr>
          <w:rFonts w:hint="eastAsia" w:ascii="黑体" w:hAnsi="黑体" w:eastAsia="黑体" w:cs="黑体"/>
          <w:sz w:val="32"/>
          <w:szCs w:val="32"/>
        </w:rPr>
        <w:t>第二部分  202</w:t>
      </w:r>
      <w:r>
        <w:rPr>
          <w:rFonts w:ascii="黑体" w:hAnsi="黑体" w:eastAsia="黑体" w:cs="黑体"/>
          <w:sz w:val="32"/>
          <w:szCs w:val="32"/>
        </w:rPr>
        <w:t>3</w:t>
      </w:r>
      <w:r>
        <w:rPr>
          <w:rFonts w:hint="eastAsia" w:ascii="黑体" w:hAnsi="黑体" w:eastAsia="黑体" w:cs="黑体"/>
          <w:sz w:val="32"/>
          <w:szCs w:val="32"/>
        </w:rPr>
        <w:t>年度部门决算表</w:t>
      </w:r>
    </w:p>
    <w:p>
      <w:pPr>
        <w:ind w:firstLine="640" w:firstLineChars="200"/>
        <w:jc w:val="left"/>
        <w:rPr>
          <w:rFonts w:hint="eastAsia" w:ascii="宋体" w:hAnsi="宋体" w:cs="黑体"/>
          <w:sz w:val="32"/>
          <w:szCs w:val="32"/>
        </w:rPr>
      </w:pPr>
      <w:r>
        <w:rPr>
          <w:rFonts w:hint="eastAsia" w:ascii="宋体" w:hAnsi="宋体" w:cs="黑体"/>
          <w:sz w:val="32"/>
          <w:szCs w:val="32"/>
        </w:rPr>
        <w:t>一、收入支出决算总表</w:t>
      </w:r>
    </w:p>
    <w:p>
      <w:pPr>
        <w:ind w:firstLine="640" w:firstLineChars="200"/>
        <w:jc w:val="left"/>
        <w:rPr>
          <w:rFonts w:hint="eastAsia" w:ascii="宋体" w:hAnsi="宋体" w:cs="黑体"/>
          <w:sz w:val="32"/>
          <w:szCs w:val="32"/>
        </w:rPr>
      </w:pPr>
      <w:r>
        <w:rPr>
          <w:rFonts w:hint="eastAsia" w:ascii="宋体" w:hAnsi="宋体" w:cs="黑体"/>
          <w:sz w:val="32"/>
          <w:szCs w:val="32"/>
        </w:rPr>
        <w:t>二、收入决算表</w:t>
      </w:r>
    </w:p>
    <w:p>
      <w:pPr>
        <w:ind w:firstLine="640" w:firstLineChars="200"/>
        <w:jc w:val="left"/>
        <w:rPr>
          <w:rFonts w:hint="eastAsia" w:ascii="宋体" w:hAnsi="宋体" w:cs="黑体"/>
          <w:sz w:val="32"/>
          <w:szCs w:val="32"/>
        </w:rPr>
      </w:pPr>
      <w:r>
        <w:rPr>
          <w:rFonts w:hint="eastAsia" w:ascii="宋体" w:hAnsi="宋体" w:cs="黑体"/>
          <w:sz w:val="32"/>
          <w:szCs w:val="32"/>
        </w:rPr>
        <w:t>三、支出决算表</w:t>
      </w:r>
    </w:p>
    <w:p>
      <w:pPr>
        <w:ind w:firstLine="640" w:firstLineChars="200"/>
        <w:jc w:val="left"/>
        <w:rPr>
          <w:rFonts w:ascii="宋体" w:hAnsi="宋体" w:cs="黑体"/>
          <w:sz w:val="32"/>
          <w:szCs w:val="32"/>
        </w:rPr>
      </w:pPr>
      <w:r>
        <w:rPr>
          <w:rFonts w:hint="eastAsia" w:ascii="宋体" w:hAnsi="宋体" w:cs="黑体"/>
          <w:sz w:val="32"/>
          <w:szCs w:val="32"/>
        </w:rPr>
        <w:t>四、财政拨款收入支出决算总表</w:t>
      </w:r>
    </w:p>
    <w:p>
      <w:pPr>
        <w:ind w:firstLine="640" w:firstLineChars="200"/>
        <w:jc w:val="left"/>
        <w:rPr>
          <w:rFonts w:hint="eastAsia" w:ascii="宋体" w:hAnsi="宋体" w:cs="黑体"/>
          <w:sz w:val="32"/>
          <w:szCs w:val="32"/>
        </w:rPr>
      </w:pPr>
      <w:r>
        <w:rPr>
          <w:rFonts w:hint="eastAsia" w:ascii="宋体" w:hAnsi="宋体" w:cs="黑体"/>
          <w:sz w:val="32"/>
          <w:szCs w:val="32"/>
        </w:rPr>
        <w:t>五、一般公共预算财政拨款支出决算表</w:t>
      </w:r>
    </w:p>
    <w:p>
      <w:pPr>
        <w:ind w:firstLine="640" w:firstLineChars="200"/>
        <w:jc w:val="left"/>
        <w:rPr>
          <w:rFonts w:ascii="宋体" w:hAnsi="宋体" w:cs="黑体"/>
          <w:sz w:val="32"/>
          <w:szCs w:val="32"/>
        </w:rPr>
      </w:pPr>
      <w:r>
        <w:rPr>
          <w:rFonts w:hint="eastAsia" w:ascii="宋体" w:hAnsi="宋体" w:cs="黑体"/>
          <w:sz w:val="32"/>
          <w:szCs w:val="32"/>
        </w:rPr>
        <w:t>六、一般公共预算财政拨款基本支出决算明细表</w:t>
      </w:r>
    </w:p>
    <w:p>
      <w:pPr>
        <w:ind w:firstLine="640" w:firstLineChars="200"/>
        <w:jc w:val="left"/>
        <w:rPr>
          <w:rFonts w:hint="eastAsia" w:ascii="宋体" w:hAnsi="宋体" w:cs="黑体"/>
          <w:sz w:val="32"/>
          <w:szCs w:val="32"/>
        </w:rPr>
      </w:pPr>
      <w:r>
        <w:rPr>
          <w:rFonts w:hint="eastAsia" w:ascii="宋体" w:hAnsi="宋体" w:cs="黑体"/>
          <w:sz w:val="32"/>
          <w:szCs w:val="32"/>
        </w:rPr>
        <w:t>七、政府性基金预算财政拨款收入支出决算表</w:t>
      </w:r>
    </w:p>
    <w:p>
      <w:pPr>
        <w:ind w:firstLine="640" w:firstLineChars="200"/>
        <w:jc w:val="left"/>
        <w:rPr>
          <w:rFonts w:ascii="宋体" w:hAnsi="宋体" w:cs="黑体"/>
          <w:sz w:val="32"/>
          <w:szCs w:val="32"/>
        </w:rPr>
      </w:pPr>
      <w:r>
        <w:rPr>
          <w:rFonts w:hint="eastAsia" w:ascii="宋体" w:hAnsi="宋体" w:cs="黑体"/>
          <w:sz w:val="32"/>
          <w:szCs w:val="32"/>
        </w:rPr>
        <w:t>八、国有</w:t>
      </w:r>
      <w:r>
        <w:rPr>
          <w:rFonts w:ascii="宋体" w:hAnsi="宋体" w:cs="黑体"/>
          <w:sz w:val="32"/>
          <w:szCs w:val="32"/>
        </w:rPr>
        <w:t>资本经营预算财政拨款</w:t>
      </w:r>
      <w:r>
        <w:rPr>
          <w:rFonts w:hint="eastAsia" w:ascii="宋体" w:hAnsi="宋体" w:cs="黑体"/>
          <w:sz w:val="32"/>
          <w:szCs w:val="32"/>
        </w:rPr>
        <w:t>支出决算表</w:t>
      </w:r>
    </w:p>
    <w:p>
      <w:pPr>
        <w:ind w:firstLine="640" w:firstLineChars="200"/>
        <w:jc w:val="left"/>
        <w:rPr>
          <w:rFonts w:hint="eastAsia" w:ascii="宋体" w:hAnsi="宋体" w:cs="黑体"/>
          <w:sz w:val="32"/>
          <w:szCs w:val="32"/>
        </w:rPr>
      </w:pPr>
      <w:r>
        <w:rPr>
          <w:rFonts w:hint="eastAsia" w:ascii="宋体" w:hAnsi="宋体" w:cs="黑体"/>
          <w:sz w:val="32"/>
          <w:szCs w:val="32"/>
        </w:rPr>
        <w:t>九、财政拨款“三公”经费支出决算表</w:t>
      </w:r>
    </w:p>
    <w:p>
      <w:pPr>
        <w:jc w:val="left"/>
        <w:rPr>
          <w:rFonts w:hint="eastAsia" w:ascii="黑体" w:hAnsi="黑体" w:eastAsia="黑体" w:cs="黑体"/>
          <w:sz w:val="32"/>
          <w:szCs w:val="32"/>
        </w:rPr>
      </w:pPr>
      <w:r>
        <w:rPr>
          <w:rFonts w:hint="eastAsia" w:ascii="黑体" w:hAnsi="黑体" w:eastAsia="黑体" w:cs="黑体"/>
          <w:sz w:val="32"/>
          <w:szCs w:val="32"/>
        </w:rPr>
        <w:t xml:space="preserve">第三部分  </w:t>
      </w:r>
      <w:r>
        <w:rPr>
          <w:rFonts w:ascii="黑体" w:hAnsi="黑体" w:eastAsia="黑体" w:cs="黑体"/>
          <w:sz w:val="32"/>
          <w:szCs w:val="32"/>
        </w:rPr>
        <w:t>2023</w:t>
      </w:r>
      <w:r>
        <w:rPr>
          <w:rFonts w:hint="eastAsia" w:ascii="黑体" w:hAnsi="黑体" w:eastAsia="黑体" w:cs="黑体"/>
          <w:sz w:val="32"/>
          <w:szCs w:val="32"/>
        </w:rPr>
        <w:t>年度</w:t>
      </w:r>
      <w:r>
        <w:rPr>
          <w:rFonts w:ascii="黑体" w:hAnsi="黑体" w:eastAsia="黑体" w:cs="黑体"/>
          <w:sz w:val="32"/>
          <w:szCs w:val="32"/>
        </w:rPr>
        <w:t>部门</w:t>
      </w:r>
      <w:r>
        <w:rPr>
          <w:rFonts w:hint="eastAsia" w:ascii="黑体" w:hAnsi="黑体" w:eastAsia="黑体" w:cs="黑体"/>
          <w:sz w:val="32"/>
          <w:szCs w:val="32"/>
        </w:rPr>
        <w:t>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一、收入支出决算总体情况说明</w:t>
      </w:r>
    </w:p>
    <w:p>
      <w:pPr>
        <w:ind w:firstLine="640" w:firstLineChars="200"/>
        <w:jc w:val="left"/>
        <w:rPr>
          <w:rFonts w:hint="eastAsia" w:ascii="宋体" w:hAnsi="宋体" w:cs="宋体"/>
          <w:sz w:val="32"/>
          <w:szCs w:val="32"/>
        </w:rPr>
      </w:pPr>
      <w:r>
        <w:rPr>
          <w:rFonts w:hint="eastAsia" w:ascii="宋体" w:hAnsi="宋体" w:cs="宋体"/>
          <w:sz w:val="32"/>
          <w:szCs w:val="32"/>
        </w:rPr>
        <w:t>二、收入决算情况说明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三、支出决算情况说明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四、财政拨款收入支出决算总体情况说明</w:t>
      </w:r>
    </w:p>
    <w:p>
      <w:pPr>
        <w:ind w:firstLine="640" w:firstLineChars="200"/>
        <w:jc w:val="left"/>
        <w:rPr>
          <w:rFonts w:hint="eastAsia" w:ascii="宋体" w:hAnsi="宋体" w:cs="宋体"/>
          <w:sz w:val="32"/>
          <w:szCs w:val="32"/>
        </w:rPr>
      </w:pPr>
      <w:r>
        <w:rPr>
          <w:rFonts w:hint="eastAsia" w:ascii="宋体" w:hAnsi="宋体" w:cs="宋体"/>
          <w:sz w:val="32"/>
          <w:szCs w:val="32"/>
        </w:rPr>
        <w:t>五、一般公共预算财政拨款支出决算情况说明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六、一般公共预算财政拨款基本支出决算情况说明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七、政府性基金预算财政拨款支出决算情况说明</w:t>
      </w:r>
    </w:p>
    <w:p>
      <w:pPr>
        <w:ind w:firstLine="640" w:firstLineChars="200"/>
        <w:jc w:val="left"/>
        <w:rPr>
          <w:rFonts w:ascii="宋体" w:hAnsi="宋体" w:cs="宋体"/>
          <w:sz w:val="32"/>
          <w:szCs w:val="32"/>
        </w:rPr>
      </w:pPr>
      <w:r>
        <w:rPr>
          <w:rFonts w:hint="eastAsia" w:ascii="宋体" w:hAnsi="宋体" w:cs="宋体"/>
          <w:sz w:val="32"/>
          <w:szCs w:val="32"/>
        </w:rPr>
        <w:t>八、国有资本</w:t>
      </w:r>
      <w:r>
        <w:rPr>
          <w:rFonts w:ascii="宋体" w:hAnsi="宋体" w:cs="宋体"/>
          <w:sz w:val="32"/>
          <w:szCs w:val="32"/>
        </w:rPr>
        <w:t>经营</w:t>
      </w:r>
      <w:r>
        <w:rPr>
          <w:rFonts w:hint="eastAsia" w:ascii="宋体" w:hAnsi="宋体" w:cs="宋体"/>
          <w:sz w:val="32"/>
          <w:szCs w:val="32"/>
        </w:rPr>
        <w:t>预算财政拨款支出决算情况说明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九、财政拨款“三公”经费支出决算情况说明</w:t>
      </w:r>
    </w:p>
    <w:p>
      <w:pPr>
        <w:ind w:firstLine="640" w:firstLineChars="200"/>
        <w:jc w:val="left"/>
        <w:rPr>
          <w:rFonts w:hint="eastAsia" w:ascii="宋体" w:hAnsi="宋体" w:cs="宋体"/>
          <w:sz w:val="32"/>
          <w:szCs w:val="32"/>
        </w:rPr>
      </w:pPr>
      <w:r>
        <w:rPr>
          <w:rFonts w:hint="eastAsia" w:ascii="宋体" w:hAnsi="宋体" w:cs="宋体"/>
          <w:sz w:val="32"/>
          <w:szCs w:val="32"/>
        </w:rPr>
        <w:t>十、机关运行经费支出情况说明</w:t>
      </w:r>
    </w:p>
    <w:p>
      <w:pPr>
        <w:ind w:firstLine="640" w:firstLineChars="200"/>
        <w:jc w:val="left"/>
        <w:rPr>
          <w:rFonts w:hint="eastAsia" w:ascii="宋体" w:hAnsi="宋体" w:cs="宋体"/>
          <w:sz w:val="32"/>
          <w:szCs w:val="32"/>
        </w:rPr>
      </w:pPr>
      <w:r>
        <w:rPr>
          <w:rFonts w:hint="eastAsia" w:ascii="宋体" w:hAnsi="宋体" w:cs="宋体"/>
          <w:sz w:val="32"/>
          <w:szCs w:val="32"/>
        </w:rPr>
        <w:t>十一、政府采购支出情况说明</w:t>
      </w:r>
    </w:p>
    <w:p>
      <w:pPr>
        <w:ind w:firstLine="640" w:firstLineChars="200"/>
        <w:jc w:val="left"/>
        <w:rPr>
          <w:rFonts w:ascii="宋体" w:hAnsi="宋体" w:cs="宋体"/>
          <w:sz w:val="32"/>
          <w:szCs w:val="32"/>
        </w:rPr>
      </w:pPr>
      <w:r>
        <w:rPr>
          <w:rFonts w:hint="eastAsia" w:ascii="宋体" w:hAnsi="宋体" w:cs="宋体"/>
          <w:sz w:val="32"/>
          <w:szCs w:val="32"/>
        </w:rPr>
        <w:t>十二、国有资产占用情况说明</w:t>
      </w:r>
    </w:p>
    <w:p>
      <w:pPr>
        <w:ind w:firstLine="640" w:firstLineChars="200"/>
        <w:jc w:val="left"/>
        <w:rPr>
          <w:rFonts w:hint="eastAsia" w:ascii="宋体" w:hAnsi="宋体" w:cs="宋体"/>
          <w:sz w:val="32"/>
          <w:szCs w:val="32"/>
        </w:rPr>
      </w:pPr>
      <w:r>
        <w:rPr>
          <w:rFonts w:hint="eastAsia" w:ascii="宋体" w:hAnsi="宋体" w:cs="宋体"/>
          <w:sz w:val="32"/>
          <w:szCs w:val="32"/>
        </w:rPr>
        <w:t>十三、预算绩效情况说明</w:t>
      </w:r>
    </w:p>
    <w:p>
      <w:pPr>
        <w:jc w:val="left"/>
        <w:rPr>
          <w:rFonts w:hint="eastAsia" w:ascii="黑体" w:hAnsi="黑体" w:eastAsia="黑体" w:cs="黑体"/>
          <w:sz w:val="32"/>
          <w:szCs w:val="32"/>
        </w:rPr>
      </w:pPr>
      <w:r>
        <w:rPr>
          <w:rFonts w:hint="eastAsia" w:ascii="黑体" w:hAnsi="黑体" w:eastAsia="黑体" w:cs="黑体"/>
          <w:sz w:val="32"/>
          <w:szCs w:val="32"/>
        </w:rPr>
        <w:t>第四部分  名词解释</w:t>
      </w: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center"/>
        <w:outlineLvl w:val="0"/>
        <w:rPr>
          <w:rFonts w:hint="eastAsia" w:ascii="黑体" w:hAnsi="宋体" w:eastAsia="黑体" w:cs="宋体"/>
          <w:kern w:val="0"/>
          <w:sz w:val="28"/>
          <w:szCs w:val="28"/>
        </w:rPr>
      </w:pPr>
      <w:r>
        <w:rPr>
          <w:rFonts w:hint="eastAsia" w:ascii="黑体" w:hAnsi="黑体" w:eastAsia="黑体" w:cs="黑体"/>
          <w:sz w:val="48"/>
          <w:szCs w:val="48"/>
        </w:rPr>
        <w:t>第一部分  开封市农林科学研究院概况</w:t>
      </w:r>
    </w:p>
    <w:p>
      <w:pPr>
        <w:widowControl/>
        <w:ind w:firstLine="640" w:firstLineChars="200"/>
        <w:jc w:val="left"/>
        <w:outlineLvl w:val="1"/>
        <w:rPr>
          <w:rFonts w:ascii="黑体" w:hAnsi="黑体" w:eastAsia="黑体" w:cs="黑体"/>
          <w:kern w:val="0"/>
          <w:sz w:val="32"/>
          <w:szCs w:val="32"/>
        </w:rPr>
      </w:pPr>
    </w:p>
    <w:p>
      <w:pPr>
        <w:widowControl/>
        <w:ind w:firstLine="640" w:firstLineChars="200"/>
        <w:jc w:val="left"/>
        <w:outlineLvl w:val="1"/>
        <w:rPr>
          <w:rFonts w:hint="eastAsia" w:ascii="黑体" w:hAnsi="黑体" w:eastAsia="黑体" w:cs="黑体"/>
          <w:kern w:val="0"/>
          <w:sz w:val="32"/>
          <w:szCs w:val="32"/>
        </w:rPr>
      </w:pPr>
      <w:r>
        <w:rPr>
          <w:rFonts w:hint="eastAsia" w:ascii="黑体" w:hAnsi="黑体" w:eastAsia="黑体" w:cs="黑体"/>
          <w:kern w:val="0"/>
          <w:sz w:val="32"/>
          <w:szCs w:val="32"/>
        </w:rPr>
        <w:t>一、部门</w:t>
      </w:r>
      <w:r>
        <w:rPr>
          <w:rFonts w:hint="eastAsia" w:ascii="黑体" w:hAnsi="黑体" w:eastAsia="黑体" w:cs="黑体"/>
          <w:bCs/>
          <w:sz w:val="32"/>
          <w:szCs w:val="32"/>
        </w:rPr>
        <w:t>职责</w:t>
      </w:r>
    </w:p>
    <w:p>
      <w:pPr>
        <w:widowControl/>
        <w:ind w:firstLine="640" w:firstLineChars="200"/>
        <w:jc w:val="left"/>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承担国家、省、市农林基础和应用性项目攻关研究；负责选育、繁育适合我市生态环境和气候特点的主要农作物、果树、用材林优良新品种；研究推广农、林、果高产高效栽培技术及病虫害防控技术；组织科技示范基础建设、农民科技培训和技术咨询，普及推广农业科技为全市农业生产提供科技服务等工作。</w:t>
      </w:r>
    </w:p>
    <w:p>
      <w:pPr>
        <w:widowControl/>
        <w:ind w:firstLine="640" w:firstLineChars="200"/>
        <w:jc w:val="left"/>
        <w:outlineLvl w:val="1"/>
        <w:rPr>
          <w:rFonts w:hint="eastAsia" w:ascii="黑体" w:hAnsi="黑体" w:eastAsia="黑体" w:cs="黑体"/>
          <w:kern w:val="0"/>
          <w:sz w:val="32"/>
          <w:szCs w:val="32"/>
        </w:rPr>
      </w:pPr>
      <w:r>
        <w:rPr>
          <w:rFonts w:hint="eastAsia" w:ascii="黑体" w:hAnsi="黑体" w:eastAsia="黑体" w:cs="黑体"/>
          <w:kern w:val="0"/>
          <w:sz w:val="32"/>
          <w:szCs w:val="32"/>
        </w:rPr>
        <w:t>二、机构设置</w:t>
      </w:r>
    </w:p>
    <w:p>
      <w:pPr>
        <w:widowControl/>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部门内设办公室、人事科、计财科、科研管理科、科技成果示范推广科、纪检监察室6个管理科室；花生研究所、西瓜研究所、粮食研究所、棉花研究所、园林研究所、大豆研究室、</w:t>
      </w:r>
      <w:r>
        <w:rPr>
          <w:rFonts w:hint="eastAsia" w:ascii="仿宋_GB2312" w:hAnsi="仿宋_GB2312" w:eastAsia="仿宋_GB2312" w:cs="仿宋_GB2312"/>
          <w:kern w:val="0"/>
          <w:sz w:val="32"/>
          <w:szCs w:val="32"/>
          <w:highlight w:val="none"/>
        </w:rPr>
        <w:t>蔬菜研究室</w:t>
      </w:r>
      <w:r>
        <w:rPr>
          <w:rFonts w:hint="eastAsia" w:ascii="仿宋_GB2312" w:hAnsi="仿宋_GB2312" w:eastAsia="仿宋_GB2312" w:cs="仿宋_GB2312"/>
          <w:kern w:val="0"/>
          <w:sz w:val="32"/>
          <w:szCs w:val="32"/>
        </w:rPr>
        <w:t>、植物保护研究室、新品种试验示范室、市生物育种重点实验室1</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个科研部门。</w:t>
      </w:r>
    </w:p>
    <w:p>
      <w:pPr>
        <w:widowControl/>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开封市农林科学研究院部门决算为本部门决算，无二级单位和归口单位决算。</w:t>
      </w: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p>
    <w:p>
      <w:pPr>
        <w:widowControl/>
        <w:jc w:val="left"/>
        <w:rPr>
          <w:rFonts w:hint="eastAsia" w:ascii="黑体" w:hAnsi="宋体" w:eastAsia="黑体" w:cs="宋体"/>
          <w:kern w:val="0"/>
          <w:sz w:val="28"/>
          <w:szCs w:val="28"/>
        </w:rPr>
      </w:pPr>
      <w:bookmarkStart w:id="0" w:name="_GoBack"/>
      <w:bookmarkEnd w:id="0"/>
    </w:p>
    <w:p>
      <w:pPr>
        <w:widowControl/>
        <w:jc w:val="left"/>
        <w:rPr>
          <w:rFonts w:hint="eastAsia" w:ascii="黑体" w:hAnsi="宋体" w:eastAsia="黑体" w:cs="宋体"/>
          <w:kern w:val="0"/>
          <w:sz w:val="28"/>
          <w:szCs w:val="28"/>
        </w:rPr>
      </w:pPr>
    </w:p>
    <w:p>
      <w:pPr>
        <w:jc w:val="center"/>
        <w:outlineLvl w:val="0"/>
        <w:rPr>
          <w:rFonts w:hint="eastAsia" w:ascii="黑体" w:hAnsi="黑体" w:eastAsia="黑体" w:cs="黑体"/>
          <w:sz w:val="48"/>
          <w:szCs w:val="48"/>
        </w:rPr>
      </w:pPr>
      <w:r>
        <w:rPr>
          <w:rFonts w:hint="eastAsia" w:ascii="黑体" w:hAnsi="黑体" w:eastAsia="黑体" w:cs="黑体"/>
          <w:sz w:val="48"/>
          <w:szCs w:val="48"/>
        </w:rPr>
        <w:t>第二部分  2023年度部门决算表</w:t>
      </w:r>
    </w:p>
    <w:p>
      <w:pPr>
        <w:widowControl/>
        <w:jc w:val="left"/>
        <w:rPr>
          <w:rFonts w:hint="eastAsia" w:ascii="黑体" w:hAnsi="宋体" w:eastAsia="黑体" w:cs="宋体"/>
          <w:kern w:val="0"/>
          <w:sz w:val="28"/>
          <w:szCs w:val="28"/>
        </w:rPr>
      </w:pPr>
    </w:p>
    <w:p>
      <w:pPr>
        <w:widowControl/>
        <w:jc w:val="center"/>
        <w:rPr>
          <w:rFonts w:hint="default" w:ascii="黑体" w:hAnsi="宋体" w:eastAsia="黑体" w:cs="宋体"/>
          <w:kern w:val="0"/>
          <w:sz w:val="28"/>
          <w:szCs w:val="28"/>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r>
        <w:rPr>
          <w:rFonts w:hint="eastAsia" w:ascii="黑体" w:hAnsi="宋体" w:eastAsia="黑体" w:cs="宋体"/>
          <w:kern w:val="0"/>
          <w:sz w:val="44"/>
          <w:szCs w:val="44"/>
          <w:lang w:val="en-US" w:eastAsia="zh-CN"/>
        </w:rPr>
        <w:t>（见附表）</w:t>
      </w:r>
    </w:p>
    <w:p>
      <w:pPr>
        <w:tabs>
          <w:tab w:val="left" w:pos="5665"/>
        </w:tabs>
        <w:rPr>
          <w:rFonts w:ascii="仿宋_GB2312" w:hAnsi="仿宋_GB2312" w:eastAsia="仿宋_GB2312" w:cs="仿宋_GB2312"/>
          <w:sz w:val="32"/>
          <w:szCs w:val="32"/>
        </w:rPr>
      </w:pPr>
    </w:p>
    <w:p>
      <w:pPr>
        <w:tabs>
          <w:tab w:val="left" w:pos="5665"/>
        </w:tabs>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ascii="黑体" w:hAnsi="宋体" w:eastAsia="黑体" w:cs="宋体"/>
          <w:kern w:val="0"/>
          <w:sz w:val="28"/>
          <w:szCs w:val="28"/>
        </w:rPr>
      </w:pPr>
    </w:p>
    <w:p>
      <w:pPr>
        <w:widowControl/>
        <w:jc w:val="left"/>
        <w:rPr>
          <w:rFonts w:hint="eastAsia" w:ascii="黑体" w:hAnsi="宋体" w:eastAsia="黑体" w:cs="宋体"/>
          <w:kern w:val="0"/>
          <w:sz w:val="28"/>
          <w:szCs w:val="28"/>
        </w:rPr>
      </w:pPr>
    </w:p>
    <w:p>
      <w:pPr>
        <w:jc w:val="center"/>
        <w:outlineLvl w:val="0"/>
        <w:rPr>
          <w:rFonts w:hint="eastAsia" w:ascii="黑体" w:hAnsi="黑体" w:eastAsia="黑体" w:cs="黑体"/>
          <w:sz w:val="48"/>
          <w:szCs w:val="48"/>
        </w:rPr>
        <w:sectPr>
          <w:pgSz w:w="11906" w:h="16838"/>
          <w:pgMar w:top="1440" w:right="1800" w:bottom="1440" w:left="1800" w:header="720" w:footer="720" w:gutter="0"/>
          <w:pgNumType w:fmt="numberInDash"/>
          <w:cols w:space="720" w:num="1"/>
          <w:docGrid w:type="lines" w:linePitch="312" w:charSpace="0"/>
        </w:sectPr>
      </w:pPr>
      <w:r>
        <w:rPr>
          <w:rFonts w:hint="eastAsia" w:ascii="黑体" w:hAnsi="黑体" w:eastAsia="黑体" w:cs="黑体"/>
          <w:sz w:val="48"/>
          <w:szCs w:val="48"/>
        </w:rPr>
        <w:t>第三部分 2023年度部门决算情况说</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一、收入支出决算总体情况说明</w:t>
      </w:r>
    </w:p>
    <w:p>
      <w:pPr>
        <w:widowControl/>
        <w:spacing w:line="590" w:lineRule="exact"/>
        <w:ind w:firstLine="640" w:firstLineChars="200"/>
        <w:rPr>
          <w:rFonts w:ascii="黑体" w:hAnsi="黑体" w:eastAsia="黑体" w:cs="黑体"/>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3年度收、支总计均为3119.3</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万元。与上年度相比，收、支总计各减少439.17万元，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rPr>
        <w:t>12.34%。主要原因是本年度政府采购项目</w:t>
      </w:r>
      <w:r>
        <w:rPr>
          <w:rFonts w:hint="eastAsia" w:ascii="仿宋_GB2312" w:eastAsia="仿宋_GB2312"/>
          <w:sz w:val="32"/>
          <w:szCs w:val="32"/>
        </w:rPr>
        <w:t>开封市农林科学研究院科研仓库配套路网工程项目和开封市农林科学研究院试验园区大门及围墙工程项目因资金原因未支付；财政拨款项目减少。</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二、收入决算情况说明</w:t>
      </w:r>
    </w:p>
    <w:p>
      <w:pPr>
        <w:widowControl/>
        <w:spacing w:line="590" w:lineRule="exact"/>
        <w:ind w:firstLine="640" w:firstLineChars="200"/>
        <w:rPr>
          <w:rFonts w:ascii="黑体" w:hAnsi="黑体" w:eastAsia="黑体" w:cs="黑体"/>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3年度收入合计2802.06万元，其中：财政拨款收入2135.21万元，占76.2%；上级补助收入0万元，占0%；事业收入666.8万元，占23.8%；经营收入0万元，占0%；附属单位上缴收入0万元，占0%；其他收入0万元，占0%。</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三、支出决算情况说明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3年度支出合计2816.53万元，其中：基本支出2614.03万元，占92.81%；项目支出202.5万元，占7.19%；上缴上级支出0万元，占0%；经营支出0万元，占0%；对附属单位补助支出0万元，占0%。</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四、财政拨款收入支出决算总体情况说明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3年度财政拨款收、支总计均为2135.21万元。与上年度相比，财政拨款收、支总计各减少690.67万元，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rPr>
        <w:t>24.44%。主要原因是本年度政府采购项目</w:t>
      </w:r>
      <w:r>
        <w:rPr>
          <w:rFonts w:hint="eastAsia" w:ascii="仿宋_GB2312" w:eastAsia="仿宋_GB2312"/>
          <w:sz w:val="32"/>
          <w:szCs w:val="32"/>
        </w:rPr>
        <w:t>开封市农林科学研究院科研仓库配套路网工程项目和开封市农林科学研究院试验园区大门及围墙工程项目因资金原因未支付；财政拨款项目减少。</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五、一般公共预算财政拨款支出决算情况说明</w:t>
      </w:r>
    </w:p>
    <w:p>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（一）总体情况。</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3年度一般公共预算财政拨款支出2135.21万元，占支出合计的75.8%。与上年度相比，一般公共预算财政拨款支出减少690.67万元，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rPr>
        <w:t>24.44%。主要原因是本年度政府采购项目</w:t>
      </w:r>
      <w:r>
        <w:rPr>
          <w:rFonts w:hint="eastAsia" w:ascii="仿宋_GB2312" w:eastAsia="仿宋_GB2312"/>
          <w:sz w:val="32"/>
          <w:szCs w:val="32"/>
        </w:rPr>
        <w:t>开封市农林科学研究院科研仓库配套路网工程项目和开封市农林科学研究院试验园区大门及围墙工程项目因资金原因未支付；财政拨款项目减少。</w:t>
      </w:r>
    </w:p>
    <w:p>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（二）结构情况。</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一般公共预算财政拨款支出2135.21万元，主要用于以下方面：科学技术（类）支出1453.15万元，占68.06%；社会保障和就业（类）支出476.05万元，占22.3%；卫生健康（类）支出110.96万元，占5.2%；农林水（类）支出2.42万元，占0.11%；住房保障（类）支出92.64万元，占4.33%。</w:t>
      </w:r>
    </w:p>
    <w:p>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（三）具体情况。</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3年度一般公共预算财政拨款支出年初预算为1989.15万元，支出决算为2135.21万元，完成年初预算的107.34%。其中：</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1．科学技术支出（类）应用研究（款）机构运行（项）。</w:t>
      </w:r>
      <w:r>
        <w:rPr>
          <w:rFonts w:hint="eastAsia" w:ascii="仿宋_GB2312" w:hAnsi="仿宋_GB2312" w:eastAsia="仿宋_GB2312" w:cs="仿宋_GB2312"/>
          <w:sz w:val="32"/>
          <w:szCs w:val="32"/>
        </w:rPr>
        <w:t>年初预算为1219.7万元，支出决算为1245.07万元，完成年初预算的102.08%。决算数与年初预算数存在差异的主要原因是职工工资晋升、单位新进人员增加。</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2．科学技术支出（类）应用研究（款）社会公益研究（项）。</w:t>
      </w:r>
      <w:r>
        <w:rPr>
          <w:rFonts w:hint="eastAsia" w:ascii="仿宋_GB2312" w:hAnsi="仿宋_GB2312" w:eastAsia="仿宋_GB2312" w:cs="仿宋_GB2312"/>
          <w:sz w:val="32"/>
          <w:szCs w:val="32"/>
        </w:rPr>
        <w:t>年初预算为89万元，支出决算为126.64万元。决算数与年初预算数存在差异的主要原因是本年度申请批复的科研项目资金年内到账。</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3．科学技术支出（类）技术研究与开发（款）其他技术研究与开发支出（项）。</w:t>
      </w:r>
      <w:r>
        <w:rPr>
          <w:rFonts w:hint="eastAsia" w:ascii="仿宋_GB2312" w:hAnsi="仿宋_GB2312" w:eastAsia="仿宋_GB2312" w:cs="仿宋_GB2312"/>
          <w:sz w:val="32"/>
          <w:szCs w:val="32"/>
        </w:rPr>
        <w:t>年初预算为0万元，支出决算为17.06万元。决算数与年初预算数存在差异的主要原因本年度申请批复的科研项目资金年内到账。</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4．科学技术支出（类）科技条件与服务（款）其他科技条件与服务支出（项）。</w:t>
      </w:r>
      <w:r>
        <w:rPr>
          <w:rFonts w:hint="eastAsia" w:ascii="仿宋_GB2312" w:hAnsi="仿宋_GB2312" w:eastAsia="仿宋_GB2312" w:cs="仿宋_GB2312"/>
          <w:sz w:val="32"/>
          <w:szCs w:val="32"/>
        </w:rPr>
        <w:t>年初预算为0万元，支出决算为64.38万元。决算数与年初预算数存在差异的主要原因科研项目结转资金未列入预算。</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5．社会保障和就业支出（类）行政事业单位养老支出（款）事业单位离退休（项）。</w:t>
      </w:r>
      <w:r>
        <w:rPr>
          <w:rFonts w:hint="eastAsia" w:ascii="仿宋_GB2312" w:hAnsi="仿宋_GB2312" w:eastAsia="仿宋_GB2312" w:cs="仿宋_GB2312"/>
          <w:sz w:val="32"/>
          <w:szCs w:val="32"/>
        </w:rPr>
        <w:t>年初预算为354.6万元，支出决算为352.35万元，完成年初预算的99.37%。决算数与年初预算数存在差异的主要原因财政收回财政结余资金。</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6．社会保障和就业支出（类）行政事业单位养老支出（款）机关事业单位基本养老保险缴费支出（项）。</w:t>
      </w:r>
      <w:r>
        <w:rPr>
          <w:rFonts w:hint="eastAsia" w:ascii="仿宋_GB2312" w:hAnsi="仿宋_GB2312" w:eastAsia="仿宋_GB2312" w:cs="仿宋_GB2312"/>
          <w:sz w:val="32"/>
          <w:szCs w:val="32"/>
        </w:rPr>
        <w:t>年初预算为123万元，支出决算为123.71万元，完成年初预算的100.58%。决算数与年初预算数存在差异的主要原因本年度新进人员和正常的增资调标。</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7．卫生健康支出（类）行政事业单位医疗（款）事业单位医疗（项）。</w:t>
      </w:r>
      <w:r>
        <w:rPr>
          <w:rFonts w:hint="eastAsia" w:ascii="仿宋_GB2312" w:hAnsi="仿宋_GB2312" w:eastAsia="仿宋_GB2312" w:cs="仿宋_GB2312"/>
          <w:sz w:val="32"/>
          <w:szCs w:val="32"/>
        </w:rPr>
        <w:t>年初预算为54.1万元，支出决算为54.44万元，完成年初预算的100.63%。决算数与年初预算数存在差异的主要原因新进人员和正常的增资调标。</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8．卫生健康支出（类）行政事业单位医疗（款）公务员医疗补助（项）。</w:t>
      </w:r>
      <w:r>
        <w:rPr>
          <w:rFonts w:hint="eastAsia" w:ascii="仿宋_GB2312" w:hAnsi="仿宋_GB2312" w:eastAsia="仿宋_GB2312" w:cs="仿宋_GB2312"/>
          <w:sz w:val="32"/>
          <w:szCs w:val="32"/>
        </w:rPr>
        <w:t>年初预算为56.5万元，支出决算为56.52万元，完成年初预算的100.03%。决算数与年初预算数存在差异的主要原因年中调整公务员医疗补助基数。</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9．住房保障支出（类）住房改革支出（款）住房公积金（项）。</w:t>
      </w:r>
      <w:r>
        <w:rPr>
          <w:rFonts w:hint="eastAsia" w:ascii="仿宋_GB2312" w:hAnsi="仿宋_GB2312" w:eastAsia="仿宋_GB2312" w:cs="仿宋_GB2312"/>
          <w:sz w:val="32"/>
          <w:szCs w:val="32"/>
        </w:rPr>
        <w:t>年初预算为92.2万元，支出决算为92.64万元，完成年初预算的100.48%。决算数与年初预算数存在差异的主要原因本年度新进人员和正常的增资和调标。</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六、一般公共预算财政拨款基本支出决算情况说明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一般公共预算财政拨款基本支出1932.72万元。其中：人员经费1891.18万元，主要包括：基本工资、津贴补贴、伙食补助费、绩效工资、机关事业单位基本养老保险缴费、职业年金缴费、其他社会保障缴费、其他工资福利支出、离休费、退休费、抚恤金、生活补助、医疗费、奖励金、住房公积金、采暖补贴、物业服务补贴、其他对个人和家庭的补助支出；公用经费41.54万元，主要包括：办公费、印刷费、咨询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其他资本性支出。</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七、政府性基金预算财政拨款支出决算情况说明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3年度政府性基金预算财政拨款支出年初预算为0万元，支出决算为0万元，完成年初预算的0%。</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八、国有资本</w:t>
      </w:r>
      <w:r>
        <w:rPr>
          <w:rFonts w:ascii="黑体" w:hAnsi="黑体" w:eastAsia="黑体" w:cs="黑体"/>
          <w:sz w:val="32"/>
          <w:szCs w:val="32"/>
        </w:rPr>
        <w:t>经营</w:t>
      </w:r>
      <w:r>
        <w:rPr>
          <w:rFonts w:hint="eastAsia" w:ascii="黑体" w:hAnsi="黑体" w:eastAsia="黑体" w:cs="黑体"/>
          <w:sz w:val="32"/>
          <w:szCs w:val="32"/>
        </w:rPr>
        <w:t>预算财政拨款支出决算情况说明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3年度国有资本</w:t>
      </w:r>
      <w:r>
        <w:rPr>
          <w:rFonts w:ascii="仿宋_GB2312" w:hAnsi="仿宋_GB2312" w:eastAsia="仿宋_GB2312" w:cs="仿宋_GB2312"/>
          <w:sz w:val="32"/>
          <w:szCs w:val="32"/>
        </w:rPr>
        <w:t>经营</w:t>
      </w:r>
      <w:r>
        <w:rPr>
          <w:rFonts w:hint="eastAsia" w:ascii="仿宋_GB2312" w:hAnsi="仿宋_GB2312" w:eastAsia="仿宋_GB2312" w:cs="仿宋_GB2312"/>
          <w:sz w:val="32"/>
          <w:szCs w:val="32"/>
        </w:rPr>
        <w:t>预算财政拨款支出年初预算为0万元，支出决算为0万元，完成年初预算的0%。</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九、财政拨款“三公”经费支出决算情况说明</w:t>
      </w:r>
    </w:p>
    <w:p>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（一）“三公”经费财政拨款支出决算总体情况说明。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3年度“三公”经费财政拨款支出预算为</w:t>
      </w:r>
      <w:r>
        <w:rPr>
          <w:rFonts w:hint="eastAsia" w:ascii="仿宋_GB2312" w:hAnsi="仿宋_GB2312" w:eastAsia="仿宋_GB2312" w:cs="仿宋_GB2312"/>
          <w:sz w:val="32"/>
          <w:szCs w:val="32"/>
          <w:lang w:val="en-US" w:eastAsia="zh-CN"/>
        </w:rPr>
        <w:t>6.5</w:t>
      </w:r>
      <w:r>
        <w:rPr>
          <w:rFonts w:hint="eastAsia" w:ascii="仿宋_GB2312" w:hAnsi="仿宋_GB2312" w:eastAsia="仿宋_GB2312" w:cs="仿宋_GB2312"/>
          <w:sz w:val="32"/>
          <w:szCs w:val="32"/>
        </w:rPr>
        <w:t>万元，支出决算为5.27万元，完成预算的</w:t>
      </w:r>
      <w:r>
        <w:rPr>
          <w:rFonts w:hint="eastAsia" w:ascii="仿宋_GB2312" w:hAnsi="仿宋_GB2312" w:eastAsia="仿宋_GB2312" w:cs="仿宋_GB2312"/>
          <w:sz w:val="32"/>
          <w:szCs w:val="32"/>
          <w:lang w:val="en-US" w:eastAsia="zh-CN"/>
        </w:rPr>
        <w:t>85.58</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3年度“三公”经费支出决算数与预算数存在差异的主要原因是本着厉行节约的要求，三公经费进一步压减。</w:t>
      </w:r>
    </w:p>
    <w:p>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（二）“三公”经费财政拨款支出决算具体情况说明。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3年度“三公”经费财政拨款支出决算中，因公出国（境）费支出决算0万元，完成预算的0%，占0%；公务用车购置及运行费支出决算5.27万元，完成预算的</w:t>
      </w:r>
      <w:r>
        <w:rPr>
          <w:rFonts w:hint="eastAsia" w:ascii="仿宋_GB2312" w:hAnsi="仿宋_GB2312" w:eastAsia="仿宋_GB2312" w:cs="仿宋_GB2312"/>
          <w:sz w:val="32"/>
          <w:szCs w:val="32"/>
          <w:lang w:val="en-US" w:eastAsia="zh-CN"/>
        </w:rPr>
        <w:t>87.87</w:t>
      </w:r>
      <w:r>
        <w:rPr>
          <w:rFonts w:hint="eastAsia" w:ascii="仿宋_GB2312" w:hAnsi="仿宋_GB2312" w:eastAsia="仿宋_GB2312" w:cs="仿宋_GB2312"/>
          <w:sz w:val="32"/>
          <w:szCs w:val="32"/>
        </w:rPr>
        <w:t>%，占94.7</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%；公务接待费支出决算0.29万元，完成预算的</w:t>
      </w:r>
      <w:r>
        <w:rPr>
          <w:rFonts w:hint="eastAsia" w:ascii="仿宋_GB2312" w:hAnsi="仿宋_GB2312" w:eastAsia="仿宋_GB2312" w:cs="仿宋_GB2312"/>
          <w:sz w:val="32"/>
          <w:szCs w:val="32"/>
          <w:lang w:val="en-US" w:eastAsia="zh-CN"/>
        </w:rPr>
        <w:t>58.14</w:t>
      </w:r>
      <w:r>
        <w:rPr>
          <w:rFonts w:hint="eastAsia" w:ascii="仿宋_GB2312" w:hAnsi="仿宋_GB2312" w:eastAsia="仿宋_GB2312" w:cs="仿宋_GB2312"/>
          <w:sz w:val="32"/>
          <w:szCs w:val="32"/>
        </w:rPr>
        <w:t>%，占5.2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1．因公出国（境）费</w:t>
      </w:r>
      <w:r>
        <w:rPr>
          <w:rFonts w:hint="eastAsia" w:ascii="仿宋_GB2312" w:hAnsi="仿宋_GB2312" w:eastAsia="仿宋_GB2312" w:cs="仿宋_GB2312"/>
          <w:sz w:val="32"/>
          <w:szCs w:val="32"/>
        </w:rPr>
        <w:t>预算为0万元，支出决算为0万元，完成预算的0%。决算数与预算数存在差异的主要原因是无因公出国人员。</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2．公务用车购置及运行费</w:t>
      </w:r>
      <w:r>
        <w:rPr>
          <w:rFonts w:hint="eastAsia" w:ascii="仿宋_GB2312" w:hAnsi="仿宋_GB2312" w:eastAsia="仿宋_GB2312" w:cs="仿宋_GB2312"/>
          <w:sz w:val="32"/>
          <w:szCs w:val="32"/>
        </w:rPr>
        <w:t>预算为</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万元，支出决算为5.27万元，完成预算的</w:t>
      </w:r>
      <w:r>
        <w:rPr>
          <w:rFonts w:hint="eastAsia" w:ascii="仿宋_GB2312" w:hAnsi="仿宋_GB2312" w:eastAsia="仿宋_GB2312" w:cs="仿宋_GB2312"/>
          <w:sz w:val="32"/>
          <w:szCs w:val="32"/>
          <w:lang w:val="en-US" w:eastAsia="zh-CN"/>
        </w:rPr>
        <w:t>87.87</w:t>
      </w:r>
      <w:r>
        <w:rPr>
          <w:rFonts w:hint="eastAsia" w:ascii="仿宋_GB2312" w:hAnsi="仿宋_GB2312" w:eastAsia="仿宋_GB2312" w:cs="仿宋_GB2312"/>
          <w:sz w:val="32"/>
          <w:szCs w:val="32"/>
        </w:rPr>
        <w:t>%。决算数与预算数存在差异的主要原因是本着厉行节约的要求，公车运行经费进一步压减。其中：</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公务用车购置支出</w:t>
      </w:r>
      <w:r>
        <w:rPr>
          <w:rFonts w:hint="eastAsia" w:ascii="仿宋_GB2312" w:hAnsi="仿宋_GB2312" w:eastAsia="仿宋_GB2312" w:cs="仿宋_GB2312"/>
          <w:sz w:val="32"/>
          <w:szCs w:val="32"/>
        </w:rPr>
        <w:t>为0万元。</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公务用车运行维护支出</w:t>
      </w:r>
      <w:r>
        <w:rPr>
          <w:rFonts w:hint="eastAsia" w:ascii="仿宋_GB2312" w:hAnsi="仿宋_GB2312" w:eastAsia="仿宋_GB2312" w:cs="仿宋_GB2312"/>
          <w:sz w:val="32"/>
          <w:szCs w:val="32"/>
        </w:rPr>
        <w:t>5.27万元。主要用于公车维修、保险、审车、加油、过路过桥费等。</w:t>
      </w: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3年期末，单位开支财政拨款的公务用车保有量为4辆。</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3.公务接待费</w:t>
      </w:r>
      <w:r>
        <w:rPr>
          <w:rFonts w:hint="eastAsia" w:ascii="仿宋_GB2312" w:hAnsi="仿宋_GB2312" w:eastAsia="仿宋_GB2312" w:cs="仿宋_GB2312"/>
          <w:sz w:val="32"/>
          <w:szCs w:val="32"/>
        </w:rPr>
        <w:t>预算为0.</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万元，支出决算为0.29万元，完成预算的</w:t>
      </w:r>
      <w:r>
        <w:rPr>
          <w:rFonts w:hint="eastAsia" w:ascii="仿宋_GB2312" w:hAnsi="仿宋_GB2312" w:eastAsia="仿宋_GB2312" w:cs="仿宋_GB2312"/>
          <w:sz w:val="32"/>
          <w:szCs w:val="32"/>
          <w:lang w:val="en-US" w:eastAsia="zh-CN"/>
        </w:rPr>
        <w:t>58.14</w:t>
      </w:r>
      <w:r>
        <w:rPr>
          <w:rFonts w:hint="eastAsia" w:ascii="仿宋_GB2312" w:hAnsi="仿宋_GB2312" w:eastAsia="仿宋_GB2312" w:cs="仿宋_GB2312"/>
          <w:sz w:val="32"/>
          <w:szCs w:val="32"/>
        </w:rPr>
        <w:t>%。决算数与预算数存在差异的主要原因是本年度考察交流人员减少。其中：</w:t>
      </w:r>
    </w:p>
    <w:p>
      <w:pPr>
        <w:widowControl/>
        <w:spacing w:line="59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外宾接待支出</w:t>
      </w:r>
      <w:r>
        <w:rPr>
          <w:rFonts w:hint="eastAsia" w:ascii="仿宋_GB2312" w:hAnsi="仿宋_GB2312" w:eastAsia="仿宋_GB2312" w:cs="仿宋_GB2312"/>
          <w:sz w:val="32"/>
          <w:szCs w:val="32"/>
        </w:rPr>
        <w:t>0万元。</w:t>
      </w: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3年共接待国（境）外来访团组0个、来访外宾0人次（不包括陪同人员）。</w:t>
      </w:r>
    </w:p>
    <w:p>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其他国内公务接待支出</w:t>
      </w:r>
      <w:r>
        <w:rPr>
          <w:rFonts w:hint="eastAsia" w:ascii="仿宋_GB2312" w:hAnsi="仿宋_GB2312" w:eastAsia="仿宋_GB2312" w:cs="仿宋_GB2312"/>
          <w:sz w:val="32"/>
          <w:szCs w:val="32"/>
        </w:rPr>
        <w:t>0万元。</w:t>
      </w: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3年共接待国内来访团组0个、来宾0人次（不包括陪同人员）。</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十、机关运行经费支出情况说明</w:t>
      </w:r>
    </w:p>
    <w:p>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我单位不是行政机关，也不是参照公务员管理事业单位，没有机关运行经费支出。</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十一、政府采购支出情况说明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度政府采购支出总额0万元，其中：政府采购货物支出0万元、政府采购工程支出0万元、政府采购服务支出0万元。授予中小企业合同金额0万元，占政府采购支出总额的0%，其中：授予小微企业合同金额0万元，占授予中小</w:t>
      </w:r>
      <w:r>
        <w:rPr>
          <w:rFonts w:ascii="仿宋_GB2312" w:hAnsi="仿宋_GB2312" w:eastAsia="仿宋_GB2312" w:cs="仿宋_GB2312"/>
          <w:sz w:val="32"/>
          <w:szCs w:val="32"/>
        </w:rPr>
        <w:t>企业合同金额</w:t>
      </w:r>
      <w:r>
        <w:rPr>
          <w:rFonts w:hint="eastAsia" w:ascii="仿宋_GB2312" w:hAnsi="仿宋_GB2312" w:eastAsia="仿宋_GB2312" w:cs="仿宋_GB2312"/>
          <w:sz w:val="32"/>
          <w:szCs w:val="32"/>
        </w:rPr>
        <w:t>的0%。</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十二、国有资产占用情况说明</w:t>
      </w:r>
    </w:p>
    <w:p>
      <w:pPr>
        <w:widowControl/>
        <w:spacing w:line="59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期末，我单位共有车辆6辆，其中：省级领导干部用车0辆、主要领导干部用车0辆、机要通信用车0辆、应急保障车0辆、执法执勤用车0辆、特种专业技术用车0辆、离退休干部用车0辆、其他用车6辆；单位价值100万元（含）以上设备0台（套）。</w:t>
      </w:r>
    </w:p>
    <w:p>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十三、预算绩效情况说明</w:t>
      </w:r>
    </w:p>
    <w:p>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（一）绩效管理工作开展情况。</w:t>
      </w:r>
    </w:p>
    <w:p>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根据预算绩效管理相关工作要求，我院积极开展预算绩效管理工作。</w:t>
      </w:r>
      <w:r>
        <w:rPr>
          <w:rFonts w:ascii="仿宋_GB2312" w:hAnsi="仿宋_GB2312" w:eastAsia="仿宋_GB2312" w:cs="仿宋_GB2312"/>
          <w:sz w:val="32"/>
          <w:szCs w:val="32"/>
        </w:rPr>
        <w:t>积极宣传绩效理念，强化绩效目标管理，规范绩效目标审核，提高绩效目标质量，培育绩效文化，构建预算编制有目标、预算执行有监控、预算完成有评价、评价结果有反馈、反馈结果有应用的预算绩效管理机制和覆盖预算管理事前、事中、事后全过程的预算绩效管理体系，有效促进财政资金使用绩效的提高。</w:t>
      </w:r>
    </w:p>
    <w:p>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（二）项目绩效自评结果。</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我院对</w:t>
      </w:r>
      <w:r>
        <w:rPr>
          <w:rFonts w:hint="eastAsia" w:ascii="仿宋_GB2312" w:hAnsi="仿宋_GB2312" w:eastAsia="仿宋_GB2312" w:cs="仿宋_GB2312"/>
          <w:sz w:val="32"/>
          <w:szCs w:val="32"/>
          <w:lang w:val="en-US" w:eastAsia="zh-CN"/>
        </w:rPr>
        <w:t>单位基本运转项目</w:t>
      </w:r>
      <w:r>
        <w:rPr>
          <w:rFonts w:hint="eastAsia" w:ascii="仿宋_GB2312" w:hAnsi="仿宋_GB2312" w:eastAsia="仿宋_GB2312" w:cs="仿宋_GB2312"/>
          <w:sz w:val="32"/>
          <w:szCs w:val="32"/>
        </w:rPr>
        <w:t>、高层次人才奖励绩效、</w:t>
      </w:r>
      <w:r>
        <w:rPr>
          <w:rFonts w:hint="eastAsia" w:ascii="仿宋_GB2312" w:hAnsi="仿宋_GB2312" w:eastAsia="仿宋_GB2312" w:cs="仿宋_GB2312"/>
          <w:sz w:val="32"/>
          <w:szCs w:val="32"/>
          <w:lang w:eastAsia="zh-CN"/>
        </w:rPr>
        <w:t>四大班子奖励资金</w:t>
      </w:r>
      <w:r>
        <w:rPr>
          <w:rFonts w:hint="eastAsia" w:ascii="仿宋_GB2312" w:hAnsi="仿宋_GB2312" w:eastAsia="仿宋_GB2312" w:cs="仿宋_GB2312"/>
          <w:sz w:val="32"/>
          <w:szCs w:val="32"/>
        </w:rPr>
        <w:t>、农业科研创新工作经费等19个项目进行了项目自评，详见项目自评汇总表。</w:t>
      </w:r>
    </w:p>
    <w:p>
      <w:pPr>
        <w:ind w:firstLine="640" w:firstLineChars="200"/>
        <w:outlineLvl w:val="0"/>
        <w:rPr>
          <w:rFonts w:ascii="仿宋_GB2312" w:eastAsia="仿宋_GB2312"/>
          <w:sz w:val="32"/>
          <w:szCs w:val="32"/>
        </w:rPr>
      </w:pPr>
      <w:r>
        <w:rPr>
          <w:rFonts w:hint="eastAsia" w:ascii="仿宋_GB2312" w:eastAsia="仿宋_GB2312"/>
          <w:sz w:val="32"/>
          <w:szCs w:val="32"/>
        </w:rPr>
        <w:t>我院绩效整体运行效率良好，但还是存在以下不足：一是资金管理水平有待进一步加强，项目管理不够规范、制度执行力度不够，绩效管理有待加强。二是部分科研工作人员认为绩效评价工作是财务部门的职责，对于绩效评价工作不够重视。</w:t>
      </w:r>
    </w:p>
    <w:p>
      <w:pPr>
        <w:ind w:firstLine="640" w:firstLineChars="200"/>
        <w:outlineLvl w:val="0"/>
        <w:rPr>
          <w:rFonts w:hint="eastAsia" w:ascii="仿宋_GB2312" w:eastAsia="仿宋_GB2312" w:cs="黑体"/>
          <w:snapToGrid w:val="0"/>
          <w:color w:val="000000"/>
          <w:kern w:val="0"/>
          <w:sz w:val="32"/>
          <w:szCs w:val="32"/>
        </w:rPr>
      </w:pPr>
      <w:r>
        <w:rPr>
          <w:rFonts w:hint="eastAsia" w:ascii="仿宋_GB2312" w:eastAsia="仿宋_GB2312"/>
          <w:sz w:val="32"/>
          <w:szCs w:val="32"/>
        </w:rPr>
        <w:t>改进方向和具体措施：一是</w:t>
      </w:r>
      <w:r>
        <w:rPr>
          <w:rFonts w:ascii="仿宋_GB2312" w:eastAsia="仿宋_GB2312" w:cs="黑体"/>
          <w:snapToGrid w:val="0"/>
          <w:color w:val="000000"/>
          <w:sz w:val="32"/>
          <w:szCs w:val="32"/>
        </w:rPr>
        <w:t>加强各</w:t>
      </w:r>
      <w:r>
        <w:rPr>
          <w:rFonts w:hint="eastAsia" w:ascii="仿宋_GB2312" w:eastAsia="仿宋_GB2312" w:cs="黑体"/>
          <w:snapToGrid w:val="0"/>
          <w:color w:val="000000"/>
          <w:sz w:val="32"/>
          <w:szCs w:val="32"/>
        </w:rPr>
        <w:t>科室（所）</w:t>
      </w:r>
      <w:r>
        <w:rPr>
          <w:rFonts w:ascii="仿宋_GB2312" w:eastAsia="仿宋_GB2312" w:cs="黑体"/>
          <w:snapToGrid w:val="0"/>
          <w:color w:val="000000"/>
          <w:sz w:val="32"/>
          <w:szCs w:val="32"/>
        </w:rPr>
        <w:t>预算绩效管理的理论学习，让项目负责人认识到本部门是预算绩效评价工作的责任主体，应树立预算绩效评价的责任意识。</w:t>
      </w:r>
      <w:r>
        <w:rPr>
          <w:rFonts w:hint="eastAsia" w:ascii="仿宋_GB2312" w:eastAsia="仿宋_GB2312"/>
          <w:sz w:val="32"/>
          <w:szCs w:val="32"/>
        </w:rPr>
        <w:t>二是</w:t>
      </w:r>
      <w:r>
        <w:rPr>
          <w:rFonts w:hint="eastAsia" w:ascii="仿宋_GB2312" w:eastAsia="仿宋_GB2312" w:cs="黑体"/>
          <w:snapToGrid w:val="0"/>
          <w:color w:val="000000"/>
          <w:kern w:val="0"/>
          <w:sz w:val="32"/>
          <w:szCs w:val="32"/>
        </w:rPr>
        <w:t>制定项目绩效目标时多方考虑各种影响要素，提高预算的可操作性，使精细化管理落到实处，树立起“花钱必问效，无效必问责”的预算绩效理念，从而提高整体的管理效率。</w:t>
      </w: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ind w:firstLine="640" w:firstLineChars="200"/>
        <w:outlineLvl w:val="0"/>
        <w:rPr>
          <w:rFonts w:hint="eastAsia" w:ascii="仿宋_GB2312" w:eastAsia="仿宋_GB2312" w:cs="黑体"/>
          <w:snapToGrid w:val="0"/>
          <w:color w:val="000000"/>
          <w:kern w:val="0"/>
          <w:sz w:val="32"/>
          <w:szCs w:val="32"/>
        </w:rPr>
      </w:pPr>
    </w:p>
    <w:p>
      <w:pPr>
        <w:widowControl/>
        <w:ind w:firstLine="640" w:firstLineChars="200"/>
        <w:jc w:val="left"/>
        <w:rPr>
          <w:rFonts w:ascii="仿宋_GB2312" w:eastAsia="仿宋_GB2312" w:cs="黑体"/>
          <w:snapToGrid w:val="0"/>
          <w:color w:val="000000"/>
          <w:kern w:val="0"/>
          <w:sz w:val="32"/>
          <w:szCs w:val="32"/>
        </w:rPr>
      </w:pPr>
    </w:p>
    <w:p>
      <w:pPr>
        <w:widowControl/>
        <w:jc w:val="left"/>
        <w:rPr>
          <w:rFonts w:hint="eastAsia" w:ascii="黑体" w:hAnsi="宋体" w:eastAsia="黑体" w:cs="宋体"/>
          <w:kern w:val="0"/>
          <w:sz w:val="28"/>
          <w:szCs w:val="2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both"/>
        <w:outlineLvl w:val="0"/>
        <w:rPr>
          <w:rFonts w:ascii="黑体" w:hAnsi="黑体" w:eastAsia="黑体" w:cs="黑体"/>
          <w:sz w:val="48"/>
          <w:szCs w:val="48"/>
        </w:rPr>
      </w:pPr>
    </w:p>
    <w:p>
      <w:pPr>
        <w:jc w:val="center"/>
        <w:outlineLvl w:val="0"/>
        <w:rPr>
          <w:rFonts w:ascii="黑体" w:hAnsi="黑体" w:eastAsia="黑体" w:cs="黑体"/>
          <w:sz w:val="48"/>
          <w:szCs w:val="48"/>
        </w:rPr>
        <w:sectPr>
          <w:pgSz w:w="11906" w:h="16838"/>
          <w:pgMar w:top="1440" w:right="1531" w:bottom="1440" w:left="1587" w:header="850" w:footer="992" w:gutter="0"/>
          <w:pgNumType w:fmt="numberInDash"/>
          <w:cols w:space="720" w:num="1"/>
          <w:docGrid w:type="lines" w:linePitch="317" w:charSpace="0"/>
        </w:sectPr>
      </w:pPr>
    </w:p>
    <w:tbl>
      <w:tblPr>
        <w:tblStyle w:val="2"/>
        <w:tblW w:w="14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0"/>
        <w:gridCol w:w="2880"/>
        <w:gridCol w:w="930"/>
        <w:gridCol w:w="1080"/>
        <w:gridCol w:w="1080"/>
        <w:gridCol w:w="1275"/>
        <w:gridCol w:w="1080"/>
        <w:gridCol w:w="1140"/>
        <w:gridCol w:w="1350"/>
        <w:gridCol w:w="1080"/>
        <w:gridCol w:w="1245"/>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700" w:type="dxa"/>
            <w:gridSpan w:val="12"/>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20"/>
                <w:szCs w:val="20"/>
                <w:u w:val="none"/>
              </w:rPr>
            </w:pPr>
            <w:r>
              <w:rPr>
                <w:rFonts w:hint="default" w:ascii="方正小标宋简体" w:hAnsi="方正小标宋简体" w:eastAsia="方正小标宋简体" w:cs="方正小标宋简体"/>
                <w:i w:val="0"/>
                <w:iCs w:val="0"/>
                <w:color w:val="000000"/>
                <w:kern w:val="0"/>
                <w:sz w:val="20"/>
                <w:szCs w:val="20"/>
                <w:u w:val="none"/>
                <w:lang w:val="en-US" w:eastAsia="zh-CN" w:bidi="ar"/>
              </w:rPr>
              <w:t>项目单位自评汇总表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gridSpan w:val="5"/>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方正小标宋简体" w:hAnsi="方正小标宋简体" w:eastAsia="方正小标宋简体" w:cs="方正小标宋简体"/>
                <w:i w:val="0"/>
                <w:iCs w:val="0"/>
                <w:color w:val="000000"/>
                <w:sz w:val="20"/>
                <w:szCs w:val="20"/>
                <w:u w:val="none"/>
              </w:rPr>
            </w:pPr>
            <w:r>
              <w:rPr>
                <w:rFonts w:hint="default" w:ascii="方正小标宋简体" w:hAnsi="方正小标宋简体" w:eastAsia="方正小标宋简体" w:cs="方正小标宋简体"/>
                <w:i w:val="0"/>
                <w:iCs w:val="0"/>
                <w:color w:val="000000"/>
                <w:kern w:val="0"/>
                <w:sz w:val="20"/>
                <w:szCs w:val="20"/>
                <w:u w:val="none"/>
                <w:lang w:val="en-US" w:eastAsia="zh-CN" w:bidi="ar"/>
              </w:rPr>
              <w:t>（  2023 年度）</w:t>
            </w: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single" w:color="000000" w:sz="4" w:space="0"/>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c>
          <w:tcPr>
            <w:tcW w:w="0" w:type="auto"/>
            <w:tcBorders>
              <w:top w:val="nil"/>
              <w:left w:val="nil"/>
              <w:bottom w:val="nil"/>
              <w:right w:val="nil"/>
            </w:tcBorders>
            <w:shd w:val="clear" w:color="auto" w:fill="auto"/>
            <w:noWrap/>
            <w:vAlign w:val="center"/>
          </w:tcPr>
          <w:p>
            <w:pPr>
              <w:jc w:val="center"/>
              <w:rPr>
                <w:rFonts w:hint="default" w:ascii="方正小标宋简体" w:hAnsi="方正小标宋简体" w:eastAsia="方正小标宋简体" w:cs="方正小标宋简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预算资金管理情况得分率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成本指标得分率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产出指标得分率</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效益指标得分率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满意度指标得分率</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自评得分</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是否有较大偏差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2-3月四大班子奖励</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4月四大班子奖励</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5月四大班子奖励</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6月四大班子奖励</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11-1月四大班子奖励</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23年三区人才</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23年省创新生态支撑专项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55.20%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95.52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单位基本运转项目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91.18%</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99.12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高层次人才奖励性绩效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技术转移转化后补助</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46.80%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94.68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开封市农林科学研究院科研仓库配套路网工程</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169.54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开封市农林科学研究院试验园区大门及围墙工程</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开封市种业实验室办公设备购置项目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开封市种业实验室大型仪器设备采购项目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33.33%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开封市种业实验室设计、装修项目</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84.20%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88.42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市派第一书记</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省派科技特派员</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农业科研创新经费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34.57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96.91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农业科研创新工作经费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否</w:t>
            </w:r>
          </w:p>
        </w:tc>
      </w:tr>
    </w:tbl>
    <w:p>
      <w:pPr>
        <w:jc w:val="center"/>
        <w:outlineLvl w:val="0"/>
        <w:rPr>
          <w:rFonts w:ascii="黑体" w:hAnsi="黑体" w:eastAsia="黑体" w:cs="黑体"/>
          <w:sz w:val="48"/>
          <w:szCs w:val="48"/>
        </w:rPr>
        <w:sectPr>
          <w:pgSz w:w="16838" w:h="11906" w:orient="landscape"/>
          <w:pgMar w:top="1587" w:right="1440" w:bottom="1531" w:left="1440" w:header="850" w:footer="992" w:gutter="0"/>
          <w:pgNumType w:fmt="numberInDash"/>
          <w:cols w:space="720" w:num="1"/>
          <w:docGrid w:type="lines" w:linePitch="317" w:charSpace="0"/>
        </w:sect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both"/>
        <w:outlineLvl w:val="0"/>
        <w:rPr>
          <w:rFonts w:ascii="黑体" w:hAnsi="黑体" w:eastAsia="黑体" w:cs="黑体"/>
          <w:sz w:val="48"/>
          <w:szCs w:val="48"/>
        </w:rPr>
      </w:pPr>
    </w:p>
    <w:p>
      <w:pPr>
        <w:jc w:val="center"/>
        <w:outlineLvl w:val="0"/>
        <w:rPr>
          <w:rFonts w:ascii="黑体" w:hAnsi="黑体" w:eastAsia="黑体" w:cs="黑体"/>
          <w:sz w:val="48"/>
          <w:szCs w:val="48"/>
        </w:rPr>
      </w:pPr>
    </w:p>
    <w:p>
      <w:pPr>
        <w:jc w:val="center"/>
        <w:outlineLvl w:val="0"/>
        <w:rPr>
          <w:rFonts w:hint="eastAsia" w:ascii="黑体" w:hAnsi="黑体" w:eastAsia="黑体" w:cs="黑体"/>
          <w:sz w:val="48"/>
          <w:szCs w:val="48"/>
        </w:rPr>
      </w:pPr>
      <w:r>
        <w:rPr>
          <w:rFonts w:hint="eastAsia" w:ascii="黑体" w:hAnsi="黑体" w:eastAsia="黑体" w:cs="黑体"/>
          <w:sz w:val="48"/>
          <w:szCs w:val="48"/>
        </w:rPr>
        <w:t>第四部分  名词解释</w:t>
      </w:r>
    </w:p>
    <w:p>
      <w:pPr>
        <w:jc w:val="center"/>
        <w:rPr>
          <w:rFonts w:hint="eastAsia" w:ascii="黑体" w:hAnsi="黑体" w:eastAsia="黑体" w:cs="黑体"/>
          <w:sz w:val="48"/>
          <w:szCs w:val="48"/>
        </w:rPr>
      </w:pPr>
    </w:p>
    <w:p>
      <w:pPr>
        <w:jc w:val="center"/>
        <w:outlineLvl w:val="0"/>
        <w:rPr>
          <w:rFonts w:hint="eastAsia" w:ascii="黑体" w:hAnsi="黑体" w:eastAsia="黑体" w:cs="黑体"/>
          <w:sz w:val="48"/>
          <w:szCs w:val="48"/>
        </w:rPr>
        <w:sectPr>
          <w:pgSz w:w="11906" w:h="16838"/>
          <w:pgMar w:top="1440" w:right="1531" w:bottom="1440" w:left="1587" w:header="850" w:footer="992" w:gutter="0"/>
          <w:pgNumType w:fmt="numberInDash"/>
          <w:cols w:space="720" w:num="1"/>
          <w:docGrid w:type="lines" w:linePitch="317" w:charSpace="0"/>
        </w:sectPr>
      </w:pP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一、财政拨款收入：单位从同级政府财政部门取得的财政预算资金。</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二、事业收入：事业单位开展专业业务活动及其辅助活动取得的收入。</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三、上级补助收入：事业单位从主管部门和上级单位取得的非财政补助收入。</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四、附属单位上缴收入：事业单位取得附属独立核算单位根据有关规定上缴的收入。</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五、经营收入：事业单位在专业业务活动及其辅助活动之外开展非独立核算经营活动取得的收入。</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六、其他收入：单位取得的除“财政拨款收入”、“事业收入”、“上级补助收入”、“附属单位上缴收入”、“经营收入”以外的各项收入。</w:t>
      </w:r>
    </w:p>
    <w:p>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七、使用非财政拨款结余：指事业单位使用以前年度积累的非财政拨款结余弥补当年收支差额的金额。</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w:t>
      </w:r>
      <w:r>
        <w:rPr>
          <w:rFonts w:ascii="仿宋_GB2312" w:hAnsi="仿宋_GB2312" w:eastAsia="仿宋_GB2312" w:cs="仿宋_GB2312"/>
          <w:sz w:val="32"/>
          <w:szCs w:val="32"/>
        </w:rPr>
        <w:t>年初结转和结余：指单位以前年度尚未完成、结转到本年仍按原规定用途继续使用的资金，或项目已完成等产生的结余资金。</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九、基本支出：为保障机构正常运转、完成日常工作任务而发生的人员支出和公用支出。</w:t>
      </w:r>
    </w:p>
    <w:p>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十、项目支出：基本支出之外为完成特定行政任务和事业发展目标所发生的支出。</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w:t>
      </w:r>
      <w:r>
        <w:rPr>
          <w:rFonts w:ascii="仿宋_GB2312" w:hAnsi="仿宋_GB2312" w:eastAsia="仿宋_GB2312" w:cs="仿宋_GB2312"/>
          <w:sz w:val="32"/>
          <w:szCs w:val="32"/>
        </w:rPr>
        <w:t>、经营支出：指事业单位在专业业务活动及其辅助活动之外开展非独立核算经营活动发生的支出。</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十二、工资福利支出：单位支付给在职职工和编制外长期聘用人员的各类劳动报酬，以及为上述人员缴纳的各项社会保险费等。</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十三、商品和服务支出：单位购买商品和服务的支出。</w:t>
      </w:r>
    </w:p>
    <w:p>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十四、对个人和家庭的补助支出：单位用于对个人和家庭的补助支出。</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w:t>
      </w:r>
      <w:r>
        <w:rPr>
          <w:rFonts w:ascii="仿宋_GB2312" w:hAnsi="仿宋_GB2312" w:eastAsia="仿宋_GB2312" w:cs="仿宋_GB2312"/>
          <w:sz w:val="32"/>
          <w:szCs w:val="32"/>
        </w:rPr>
        <w:t>结余分配：指事业单位按照会计制度规定缴纳的所得税、提取的专用结余以及转入非财政拨款结余的金额等。</w:t>
      </w:r>
    </w:p>
    <w:p>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十六、年末结转和</w:t>
      </w:r>
      <w:r>
        <w:rPr>
          <w:rFonts w:ascii="仿宋_GB2312" w:hAnsi="仿宋_GB2312" w:eastAsia="仿宋_GB2312" w:cs="仿宋_GB2312"/>
          <w:sz w:val="32"/>
          <w:szCs w:val="32"/>
        </w:rPr>
        <w:t>结余</w:t>
      </w:r>
      <w:r>
        <w:rPr>
          <w:rFonts w:hint="eastAsia" w:ascii="仿宋_GB2312" w:hAnsi="仿宋_GB2312" w:eastAsia="仿宋_GB2312" w:cs="仿宋_GB2312"/>
          <w:sz w:val="32"/>
          <w:szCs w:val="32"/>
        </w:rPr>
        <w:t>：指</w:t>
      </w:r>
      <w:r>
        <w:rPr>
          <w:rFonts w:ascii="仿宋_GB2312" w:hAnsi="仿宋_GB2312" w:eastAsia="仿宋_GB2312" w:cs="仿宋_GB2312"/>
          <w:sz w:val="32"/>
          <w:szCs w:val="32"/>
        </w:rPr>
        <w:t>单位按有关规定结转到下年或以后年度</w:t>
      </w:r>
      <w:r>
        <w:rPr>
          <w:rFonts w:hint="eastAsia" w:ascii="仿宋_GB2312" w:hAnsi="仿宋_GB2312" w:eastAsia="仿宋_GB2312" w:cs="仿宋_GB2312"/>
          <w:sz w:val="32"/>
          <w:szCs w:val="32"/>
        </w:rPr>
        <w:t>继续</w:t>
      </w:r>
      <w:r>
        <w:rPr>
          <w:rFonts w:ascii="仿宋_GB2312" w:hAnsi="仿宋_GB2312" w:eastAsia="仿宋_GB2312" w:cs="仿宋_GB2312"/>
          <w:sz w:val="32"/>
          <w:szCs w:val="32"/>
        </w:rPr>
        <w:t>使用的资金，或项目已完成等产生的结余资金。</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七、“三公”经费：纳入同级财政预决算管理“三公”经费，指单位使用财政拨款安排的因公出国（境）费、公务用车购置及运行费和公务接待费。其中，因公出国（境）费反映单位公务出国（境）的国际旅费、国外城市间交通费、住宿费、伙食费、培训费、公杂费等支出；公务用车购置及运行费反映反映单位公务用车车辆购置支出（含车辆购置税）及租用费、燃料费、维修费、过路过桥费、保险费、安全奖励费用等支出；公务接待费反映单位按规定开支的各类公务接待（含外宾接待）支出。</w:t>
      </w:r>
    </w:p>
    <w:p>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八、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widowControl/>
        <w:spacing w:line="590" w:lineRule="exact"/>
        <w:ind w:firstLine="643" w:firstLineChars="200"/>
        <w:jc w:val="lef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（各</w:t>
      </w:r>
      <w:r>
        <w:rPr>
          <w:rFonts w:ascii="仿宋_GB2312" w:hAnsi="仿宋_GB2312" w:eastAsia="仿宋_GB2312" w:cs="仿宋_GB2312"/>
          <w:b/>
          <w:sz w:val="32"/>
          <w:szCs w:val="32"/>
        </w:rPr>
        <w:t>部门（</w:t>
      </w:r>
      <w:r>
        <w:rPr>
          <w:rFonts w:hint="eastAsia" w:ascii="仿宋_GB2312" w:hAnsi="仿宋_GB2312" w:eastAsia="仿宋_GB2312" w:cs="仿宋_GB2312"/>
          <w:b/>
          <w:sz w:val="32"/>
          <w:szCs w:val="32"/>
        </w:rPr>
        <w:t>单位</w:t>
      </w:r>
      <w:r>
        <w:rPr>
          <w:rFonts w:ascii="仿宋_GB2312" w:hAnsi="仿宋_GB2312" w:eastAsia="仿宋_GB2312" w:cs="仿宋_GB2312"/>
          <w:b/>
          <w:sz w:val="32"/>
          <w:szCs w:val="32"/>
        </w:rPr>
        <w:t>）</w:t>
      </w:r>
      <w:r>
        <w:rPr>
          <w:rFonts w:hint="eastAsia" w:ascii="仿宋_GB2312" w:hAnsi="仿宋_GB2312" w:eastAsia="仿宋_GB2312" w:cs="仿宋_GB2312"/>
          <w:b/>
          <w:sz w:val="32"/>
          <w:szCs w:val="32"/>
        </w:rPr>
        <w:t>可根据</w:t>
      </w:r>
      <w:r>
        <w:rPr>
          <w:rFonts w:ascii="仿宋_GB2312" w:hAnsi="仿宋_GB2312" w:eastAsia="仿宋_GB2312" w:cs="仿宋_GB2312"/>
          <w:b/>
          <w:sz w:val="32"/>
          <w:szCs w:val="32"/>
        </w:rPr>
        <w:t>本部门公开内容对</w:t>
      </w:r>
      <w:r>
        <w:rPr>
          <w:rFonts w:hint="eastAsia" w:ascii="仿宋_GB2312" w:hAnsi="仿宋_GB2312" w:eastAsia="仿宋_GB2312" w:cs="仿宋_GB2312"/>
          <w:b/>
          <w:sz w:val="32"/>
          <w:szCs w:val="32"/>
        </w:rPr>
        <w:t>名词</w:t>
      </w:r>
      <w:r>
        <w:rPr>
          <w:rFonts w:ascii="仿宋_GB2312" w:hAnsi="仿宋_GB2312" w:eastAsia="仿宋_GB2312" w:cs="仿宋_GB2312"/>
          <w:b/>
          <w:sz w:val="32"/>
          <w:szCs w:val="32"/>
        </w:rPr>
        <w:t>解释</w:t>
      </w:r>
      <w:r>
        <w:rPr>
          <w:rFonts w:hint="eastAsia" w:ascii="仿宋_GB2312" w:hAnsi="仿宋_GB2312" w:eastAsia="仿宋_GB2312" w:cs="仿宋_GB2312"/>
          <w:b/>
          <w:sz w:val="32"/>
          <w:szCs w:val="32"/>
        </w:rPr>
        <w:t>进行相应</w:t>
      </w:r>
      <w:r>
        <w:rPr>
          <w:rFonts w:ascii="仿宋_GB2312" w:hAnsi="仿宋_GB2312" w:eastAsia="仿宋_GB2312" w:cs="仿宋_GB2312"/>
          <w:b/>
          <w:sz w:val="32"/>
          <w:szCs w:val="32"/>
        </w:rPr>
        <w:t>增补</w:t>
      </w:r>
      <w:r>
        <w:rPr>
          <w:rFonts w:hint="eastAsia" w:ascii="仿宋_GB2312" w:hAnsi="仿宋_GB2312" w:eastAsia="仿宋_GB2312" w:cs="仿宋_GB2312"/>
          <w:b/>
          <w:sz w:val="32"/>
          <w:szCs w:val="32"/>
        </w:rPr>
        <w:t>）</w:t>
      </w:r>
    </w:p>
    <w:sectPr>
      <w:pgSz w:w="11906" w:h="16838"/>
      <w:pgMar w:top="1928" w:right="1474" w:bottom="1701"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6"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- 21 -</w:t>
                </w:r>
                <w:r>
                  <w:rPr>
                    <w:rFonts w:hint="eastAsia"/>
                    <w:sz w:val="18"/>
                  </w:rPr>
                  <w:fldChar w:fldCharType="end"/>
                </w:r>
              </w:p>
            </w:txbxContent>
          </v:textbox>
        </v:shape>
      </w:pict>
    </w:r>
    <w:r>
      <w:pict>
        <v:shape id="文本框 1027"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rPr>
                    <w:rFonts w:hint="eastAsia"/>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7"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MjVkYTkyODYyNmNkYTJmYzJjODU1MWIwM2U5NTgyYmIifQ=="/>
  </w:docVars>
  <w:rsids>
    <w:rsidRoot w:val="00000000"/>
    <w:rsid w:val="0939239A"/>
    <w:rsid w:val="17942BA8"/>
    <w:rsid w:val="1AAC3EA4"/>
    <w:rsid w:val="23F16A76"/>
    <w:rsid w:val="296E36EB"/>
    <w:rsid w:val="35D60B01"/>
    <w:rsid w:val="36067A07"/>
    <w:rsid w:val="679D274E"/>
    <w:rsid w:val="7EC37B2F"/>
  </w:rsids>
  <m:mathPr>
    <m:mathFont m:val="Cambria Math"/>
    <m:brkBin m:val="before"/>
    <m:brkBinSub m:val="--"/>
    <m:smallFrac m:val="0"/>
    <m:dispDef/>
    <m:lMargin m:val="0"/>
    <m:rMargin m:val="0"/>
    <m:defJc m:val="centerGroup"/>
    <m:preSp m:val="0"/>
    <m:postSp m:val="0"/>
    <m:interSp m:val="0"/>
    <m:intraSp m:val="0"/>
    <m:wrapRight m:val="1"/>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
    <w:name w:val="普通表格1"/>
    <w:unhideWhenUsed/>
    <w:qFormat/>
    <w:uiPriority w:val="99"/>
    <w:tblPr>
      <w:tblCellMar>
        <w:top w:w="0" w:type="dxa"/>
        <w:left w:w="108" w:type="dxa"/>
        <w:bottom w:w="0" w:type="dxa"/>
        <w:right w:w="108" w:type="dxa"/>
      </w:tblCellMar>
    </w:tblPr>
  </w:style>
  <w:style w:type="character" w:customStyle="1" w:styleId="6">
    <w:name w:val="超链接1"/>
    <w:unhideWhenUsed/>
    <w:qFormat/>
    <w:uiPriority w:val="99"/>
    <w:rPr>
      <w:color w:val="0000FF"/>
      <w:u w:val="single"/>
    </w:rPr>
  </w:style>
  <w:style w:type="character" w:customStyle="1" w:styleId="7">
    <w:name w:val="font01"/>
    <w:qFormat/>
    <w:uiPriority w:val="0"/>
    <w:rPr>
      <w:rFonts w:hint="eastAsia" w:ascii="宋体" w:hAnsi="宋体" w:eastAsia="宋体" w:cs="宋体"/>
      <w:color w:val="000000"/>
      <w:sz w:val="22"/>
      <w:szCs w:val="22"/>
      <w:u w:val="none"/>
    </w:rPr>
  </w:style>
  <w:style w:type="character" w:customStyle="1" w:styleId="8">
    <w:name w:val="font21"/>
    <w:qFormat/>
    <w:uiPriority w:val="0"/>
    <w:rPr>
      <w:rFonts w:hint="eastAsia" w:ascii="宋体" w:hAnsi="宋体" w:eastAsia="宋体" w:cs="宋体"/>
      <w:color w:val="000000"/>
      <w:sz w:val="22"/>
      <w:szCs w:val="22"/>
      <w:u w:val="none"/>
    </w:rPr>
  </w:style>
  <w:style w:type="character" w:customStyle="1" w:styleId="9">
    <w:name w:val="访问过的超链接"/>
    <w:unhideWhenUsed/>
    <w:qFormat/>
    <w:uiPriority w:val="99"/>
    <w:rPr>
      <w:color w:val="800080"/>
      <w:u w:val="single"/>
    </w:rPr>
  </w:style>
  <w:style w:type="character" w:customStyle="1" w:styleId="10">
    <w:name w:val="页眉 Char"/>
    <w:link w:val="11"/>
    <w:qFormat/>
    <w:uiPriority w:val="99"/>
    <w:rPr>
      <w:kern w:val="2"/>
      <w:sz w:val="18"/>
      <w:szCs w:val="18"/>
    </w:rPr>
  </w:style>
  <w:style w:type="paragraph" w:customStyle="1" w:styleId="11">
    <w:name w:val="页眉1"/>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2">
    <w:name w:val="font51"/>
    <w:qFormat/>
    <w:uiPriority w:val="0"/>
    <w:rPr>
      <w:rFonts w:hint="eastAsia" w:ascii="宋体" w:hAnsi="宋体" w:eastAsia="宋体" w:cs="宋体"/>
      <w:color w:val="000000"/>
      <w:sz w:val="24"/>
      <w:szCs w:val="24"/>
      <w:u w:val="none"/>
    </w:rPr>
  </w:style>
  <w:style w:type="character" w:customStyle="1" w:styleId="13">
    <w:name w:val="font11"/>
    <w:qFormat/>
    <w:uiPriority w:val="0"/>
    <w:rPr>
      <w:rFonts w:hint="eastAsia" w:ascii="宋体" w:hAnsi="宋体" w:eastAsia="宋体" w:cs="宋体"/>
      <w:color w:val="000000"/>
      <w:sz w:val="20"/>
      <w:szCs w:val="20"/>
      <w:u w:val="none"/>
    </w:rPr>
  </w:style>
  <w:style w:type="character" w:customStyle="1" w:styleId="14">
    <w:name w:val="页脚 Char"/>
    <w:link w:val="15"/>
    <w:qFormat/>
    <w:uiPriority w:val="99"/>
    <w:rPr>
      <w:kern w:val="2"/>
      <w:sz w:val="18"/>
      <w:szCs w:val="18"/>
    </w:rPr>
  </w:style>
  <w:style w:type="paragraph" w:customStyle="1" w:styleId="15">
    <w:name w:val="页脚1"/>
    <w:basedOn w:val="1"/>
    <w:link w:val="14"/>
    <w:unhideWhenUsed/>
    <w:qFormat/>
    <w:uiPriority w:val="99"/>
    <w:pPr>
      <w:tabs>
        <w:tab w:val="center" w:pos="4153"/>
        <w:tab w:val="right" w:pos="8306"/>
      </w:tabs>
      <w:snapToGrid w:val="0"/>
      <w:jc w:val="left"/>
    </w:pPr>
    <w:rPr>
      <w:sz w:val="18"/>
      <w:szCs w:val="18"/>
    </w:rPr>
  </w:style>
  <w:style w:type="character" w:customStyle="1" w:styleId="16">
    <w:name w:val="font41"/>
    <w:qFormat/>
    <w:uiPriority w:val="0"/>
    <w:rPr>
      <w:rFonts w:hint="eastAsia" w:ascii="宋体" w:hAnsi="宋体" w:eastAsia="宋体" w:cs="宋体"/>
      <w:color w:val="000000"/>
      <w:sz w:val="24"/>
      <w:szCs w:val="24"/>
      <w:u w:val="none"/>
    </w:rPr>
  </w:style>
  <w:style w:type="character" w:customStyle="1" w:styleId="17">
    <w:name w:val="批注框文本 Char"/>
    <w:link w:val="18"/>
    <w:semiHidden/>
    <w:qFormat/>
    <w:uiPriority w:val="99"/>
    <w:rPr>
      <w:kern w:val="2"/>
      <w:sz w:val="18"/>
      <w:szCs w:val="18"/>
    </w:rPr>
  </w:style>
  <w:style w:type="paragraph" w:customStyle="1" w:styleId="18">
    <w:name w:val="批注框文本1"/>
    <w:basedOn w:val="1"/>
    <w:link w:val="17"/>
    <w:unhideWhenUsed/>
    <w:qFormat/>
    <w:uiPriority w:val="99"/>
    <w:rPr>
      <w:sz w:val="18"/>
      <w:szCs w:val="18"/>
    </w:rPr>
  </w:style>
  <w:style w:type="table" w:customStyle="1" w:styleId="19">
    <w:name w:val="网格型1"/>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Info spid="_x0000_s4098"/>
    <customShpInfo spid="_x0000_s409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2052-11.1.0.8597</vt:lpwstr>
  </property>
</Properties>
</file>

<file path=customXml/item4.xml><?xml version="1.0" encoding="utf-8"?>
<Properties xmlns:vt="http://schemas.openxmlformats.org/officeDocument/2006/docPropsVTypes" xmlns="http://schemas.openxmlformats.org/officeDocument/2006/extended-properties">
  <Template>Normal</Template>
  <TotalTime>386</TotalTime>
  <Pages>28</Pages>
  <Words>1363</Words>
  <Characters>7775</Characters>
  <Application>Microsoft Office Word</Application>
  <DocSecurity>0</DocSecurity>
  <Lines>64</Lines>
  <Paragraphs>18</Paragraphs>
  <Company>MS User</Company>
  <CharactersWithSpaces>9120</CharactersWithSpaces>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creator>管理者</dc:creator>
  <cp:lastModifiedBy>NTKO</cp:lastModifiedBy>
  <cp:revision>77</cp:revision>
  <cp:lastPrinted>2023-07-28T02:40:00Z</cp:lastPrinted>
  <dcterms:created xsi:type="dcterms:W3CDTF">2007-11-29T03:41:00Z</dcterms:created>
  <dcterms:modified xsi:type="dcterms:W3CDTF">2024-07-30T08:40:00Z</dcterms:modified>
</cp:core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6F989A-9962-4C50-B54D-050A203B2940}">
  <ds:schemaRefs/>
</ds:datastoreItem>
</file>

<file path=customXml/itemProps3.xml><?xml version="1.0" encoding="utf-8"?>
<ds:datastoreItem xmlns:ds="http://schemas.openxmlformats.org/officeDocument/2006/customXml" ds:itemID="{f6056608-b5cd-4391-991f-06fbeb1a54c1}">
  <ds:schemaRefs/>
</ds:datastoreItem>
</file>

<file path=customXml/itemProps4.xml><?xml version="1.0" encoding="utf-8"?>
<ds:datastoreItem xmlns:ds="http://schemas.openxmlformats.org/officeDocument/2006/customXml" ds:itemID="{851fb7f0-5ed2-4d48-800b-37032cd9c789}">
  <ds:schemaRefs/>
</ds:datastoreItem>
</file>

<file path=customXml/itemProps5.xml><?xml version="1.0" encoding="utf-8"?>
<ds:datastoreItem xmlns:ds="http://schemas.openxmlformats.org/officeDocument/2006/customXml" ds:itemID="{6fb7d07f-9cdf-495b-a0bc-6d3ef03a7cb8}">
  <ds:schemaRefs/>
</ds:datastoreItem>
</file>

<file path=customXml/itemProps6.xml><?xml version="1.0" encoding="utf-8"?>
<ds:datastoreItem xmlns:ds="http://schemas.openxmlformats.org/officeDocument/2006/customXml" ds:itemID="{DE6F989A-9962-4C50-B54D-050A203B2940}">
  <ds:schemaRefs/>
</ds:datastoreItem>
</file>

<file path=docProps/app.xml><?xml version="1.0" encoding="utf-8"?>
<Properties xmlns="http://schemas.openxmlformats.org/officeDocument/2006/extended-properties" xmlns:vt="http://schemas.openxmlformats.org/officeDocument/2006/docPropsVTypes">
  <Template>Normal</Template>
  <Company>MS User</Company>
  <Pages>20</Pages>
  <Words>5880</Words>
  <Characters>6749</Characters>
  <Lines>64</Lines>
  <Paragraphs>18</Paragraphs>
  <TotalTime>241</TotalTime>
  <ScaleCrop>false</ScaleCrop>
  <LinksUpToDate>false</LinksUpToDate>
  <CharactersWithSpaces>6768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2024-09-26T02:46:00Z</cp:lastPrinted>
  <dcterms:modified xsi:type="dcterms:W3CDTF">2024-09-26T08:14:11Z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AC839BB16DBE4EE08CD8FD22A897D6D3_12</vt:lpwstr>
  </property>
</Properties>
</file>